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84" w:rsidRPr="00016084" w:rsidRDefault="000F5450" w:rsidP="00016084">
      <w:pPr>
        <w:pBdr>
          <w:bottom w:val="double" w:sz="4" w:space="1" w:color="336699"/>
        </w:pBdr>
        <w:shd w:val="clear" w:color="auto" w:fill="FFFFFF"/>
        <w:spacing w:before="100" w:beforeAutospacing="1" w:after="100" w:afterAutospacing="1" w:line="240" w:lineRule="auto"/>
        <w:ind w:right="720"/>
        <w:rPr>
          <w:rFonts w:eastAsia="Calibri" w:cs="Times New Roman"/>
          <w:b/>
          <w:color w:val="2E74B5" w:themeColor="accent1" w:themeShade="BF"/>
          <w:sz w:val="4"/>
          <w:szCs w:val="4"/>
        </w:rPr>
      </w:pPr>
      <w:r>
        <w:rPr>
          <w:b/>
          <w:noProof/>
          <w:color w:val="2F5496"/>
          <w:sz w:val="48"/>
          <w:szCs w:val="48"/>
        </w:rPr>
        <w:drawing>
          <wp:anchor distT="0" distB="0" distL="114300" distR="114300" simplePos="0" relativeHeight="251690496" behindDoc="0" locked="0" layoutInCell="1" allowOverlap="1" wp14:anchorId="6514D76F" wp14:editId="6B999B35">
            <wp:simplePos x="0" y="0"/>
            <wp:positionH relativeFrom="margin">
              <wp:posOffset>38100</wp:posOffset>
            </wp:positionH>
            <wp:positionV relativeFrom="margin">
              <wp:posOffset>-137160</wp:posOffset>
            </wp:positionV>
            <wp:extent cx="937260" cy="1325880"/>
            <wp:effectExtent l="0" t="0" r="0" b="7620"/>
            <wp:wrapSquare wrapText="bothSides"/>
            <wp:docPr id="2" name="Picture 2" desc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17F">
        <w:rPr>
          <w:b/>
          <w:noProof/>
          <w:color w:val="2E74B5" w:themeColor="accent1" w:themeShade="BF"/>
          <w:sz w:val="40"/>
          <w:szCs w:val="23"/>
        </w:rPr>
        <w:drawing>
          <wp:anchor distT="0" distB="0" distL="114300" distR="114300" simplePos="0" relativeHeight="251691520" behindDoc="0" locked="0" layoutInCell="1" allowOverlap="1" wp14:anchorId="364AB462" wp14:editId="6AF6F395">
            <wp:simplePos x="0" y="0"/>
            <wp:positionH relativeFrom="margin">
              <wp:posOffset>4545965</wp:posOffset>
            </wp:positionH>
            <wp:positionV relativeFrom="margin">
              <wp:posOffset>49530</wp:posOffset>
            </wp:positionV>
            <wp:extent cx="2202180" cy="108966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17F" w:rsidRPr="00A86B33">
        <w:rPr>
          <w:b/>
          <w:noProof/>
          <w:color w:val="2E74B5" w:themeColor="accent1" w:themeShade="BF"/>
          <w:sz w:val="40"/>
          <w:szCs w:val="23"/>
        </w:rPr>
        <mc:AlternateContent>
          <mc:Choice Requires="wps">
            <w:drawing>
              <wp:anchor distT="45720" distB="45720" distL="114300" distR="114300" simplePos="0" relativeHeight="251677184" behindDoc="0" locked="0" layoutInCell="1" allowOverlap="1" wp14:anchorId="1EEB8F1F" wp14:editId="4DDE52A1">
                <wp:simplePos x="0" y="0"/>
                <wp:positionH relativeFrom="column">
                  <wp:posOffset>6878320</wp:posOffset>
                </wp:positionH>
                <wp:positionV relativeFrom="paragraph">
                  <wp:posOffset>45720</wp:posOffset>
                </wp:positionV>
                <wp:extent cx="109220" cy="1038225"/>
                <wp:effectExtent l="0" t="0" r="2413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9220" cy="1038225"/>
                        </a:xfrm>
                        <a:prstGeom prst="rect">
                          <a:avLst/>
                        </a:prstGeom>
                        <a:solidFill>
                          <a:srgbClr val="4472C4">
                            <a:lumMod val="20000"/>
                            <a:lumOff val="80000"/>
                          </a:srgbClr>
                        </a:solidFill>
                        <a:ln w="19050">
                          <a:solidFill>
                            <a:srgbClr val="FFFF00"/>
                          </a:solidFill>
                          <a:miter lim="800000"/>
                          <a:headEnd/>
                          <a:tailEnd/>
                        </a:ln>
                      </wps:spPr>
                      <wps:txbx>
                        <w:txbxContent>
                          <w:p w:rsidR="00016084" w:rsidRPr="006E54E9" w:rsidRDefault="00016084" w:rsidP="00016084">
                            <w:pPr>
                              <w:jc w:val="center"/>
                              <w:rPr>
                                <w:i/>
                                <w:sz w:val="32"/>
                              </w:rPr>
                            </w:pPr>
                            <w:r w:rsidRPr="006E54E9">
                              <w:rPr>
                                <w:i/>
                                <w:sz w:val="32"/>
                              </w:rPr>
                              <w:t>Insert Logo/Masthead</w:t>
                            </w:r>
                          </w:p>
                          <w:p w:rsidR="00016084" w:rsidRDefault="00016084" w:rsidP="00016084">
                            <w:pPr>
                              <w:tabs>
                                <w:tab w:val="left" w:pos="1170"/>
                              </w:tabs>
                              <w:ind w:left="90" w:right="15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41.6pt;margin-top:3.6pt;width:8.6pt;height:81.75pt;flip:x;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" fillcolor="#dae3f3" strokecolor="yellow" strokeweight="1.5pt">
                <v:textbox>
                  <w:txbxContent>
                    <w:p w:rsidR="00016084" w:rsidRPr="006E54E9" w:rsidRDefault="00016084" w:rsidP="00016084">
                      <w:pPr>
                        <w:jc w:val="center"/>
                        <w:rPr>
                          <w:i/>
                          <w:sz w:val="32"/>
                        </w:rPr>
                      </w:pPr>
                      <w:r w:rsidRPr="006E54E9">
                        <w:rPr>
                          <w:i/>
                          <w:sz w:val="32"/>
                        </w:rPr>
                        <w:t>Insert Logo/Masthead</w:t>
                      </w:r>
                    </w:p>
                    <w:p w:rsidR="00016084" w:rsidRDefault="00016084" w:rsidP="00016084">
                      <w:pPr>
                        <w:tabs>
                          <w:tab w:val="left" w:pos="1170"/>
                        </w:tabs>
                        <w:ind w:left="90" w:right="150"/>
                        <w:jc w:val="center"/>
                      </w:pPr>
                    </w:p>
                  </w:txbxContent>
                </v:textbox>
              </v:shape>
            </w:pict>
          </mc:Fallback>
        </mc:AlternateContent>
      </w:r>
      <w:r w:rsidR="00B85F41" w:rsidRPr="001D404B">
        <w:rPr>
          <w:rFonts w:eastAsia="Calibri" w:cs="Times New Roman"/>
          <w:b/>
          <w:color w:val="2E74B5" w:themeColor="accent1" w:themeShade="BF"/>
          <w:sz w:val="40"/>
          <w:szCs w:val="23"/>
        </w:rPr>
        <w:t xml:space="preserve">Roth IRAs </w:t>
      </w:r>
      <w:r w:rsidR="00016F97" w:rsidRPr="001D404B">
        <w:rPr>
          <w:rFonts w:eastAsia="Calibri" w:cs="Times New Roman"/>
          <w:b/>
          <w:color w:val="2E74B5" w:themeColor="accent1" w:themeShade="BF"/>
          <w:sz w:val="40"/>
          <w:szCs w:val="23"/>
        </w:rPr>
        <w:br/>
      </w:r>
      <w:r w:rsidR="00016F97" w:rsidRPr="001D404B">
        <w:rPr>
          <w:rFonts w:eastAsia="Calibri" w:cs="Times New Roman"/>
          <w:b/>
          <w:color w:val="2E74B5" w:themeColor="accent1" w:themeShade="BF"/>
          <w:sz w:val="28"/>
          <w:szCs w:val="23"/>
        </w:rPr>
        <w:t xml:space="preserve">A </w:t>
      </w:r>
      <w:r w:rsidR="00016084">
        <w:rPr>
          <w:rFonts w:eastAsia="Calibri" w:cs="Times New Roman"/>
          <w:b/>
          <w:color w:val="2E74B5" w:themeColor="accent1" w:themeShade="BF"/>
          <w:sz w:val="28"/>
          <w:szCs w:val="23"/>
        </w:rPr>
        <w:t>T</w:t>
      </w:r>
      <w:r w:rsidR="00016F97" w:rsidRPr="001D404B">
        <w:rPr>
          <w:rFonts w:eastAsia="Calibri" w:cs="Times New Roman"/>
          <w:b/>
          <w:color w:val="2E74B5" w:themeColor="accent1" w:themeShade="BF"/>
          <w:sz w:val="28"/>
          <w:szCs w:val="23"/>
        </w:rPr>
        <w:t>ool to Maximize</w:t>
      </w:r>
      <w:r w:rsidR="00D124D4" w:rsidRPr="001D404B">
        <w:rPr>
          <w:rFonts w:eastAsia="Calibri" w:cs="Times New Roman"/>
          <w:b/>
          <w:color w:val="2E74B5" w:themeColor="accent1" w:themeShade="BF"/>
          <w:sz w:val="28"/>
          <w:szCs w:val="23"/>
        </w:rPr>
        <w:t xml:space="preserve"> Tax Efficiency </w:t>
      </w:r>
      <w:r w:rsidR="00B85F41" w:rsidRPr="001D404B">
        <w:rPr>
          <w:rFonts w:eastAsia="Calibri" w:cs="Times New Roman"/>
          <w:b/>
          <w:color w:val="2E74B5" w:themeColor="accent1" w:themeShade="BF"/>
          <w:sz w:val="28"/>
          <w:szCs w:val="23"/>
        </w:rPr>
        <w:t xml:space="preserve">or </w:t>
      </w:r>
      <w:r w:rsidR="004612E2">
        <w:rPr>
          <w:rFonts w:eastAsia="Calibri" w:cs="Times New Roman"/>
          <w:b/>
          <w:color w:val="2E74B5" w:themeColor="accent1" w:themeShade="BF"/>
          <w:sz w:val="28"/>
          <w:szCs w:val="23"/>
        </w:rPr>
        <w:br/>
      </w:r>
      <w:r w:rsidR="00B85F41" w:rsidRPr="001D404B">
        <w:rPr>
          <w:rFonts w:eastAsia="Calibri" w:cs="Times New Roman"/>
          <w:b/>
          <w:color w:val="2E74B5" w:themeColor="accent1" w:themeShade="BF"/>
          <w:sz w:val="28"/>
          <w:szCs w:val="23"/>
        </w:rPr>
        <w:t xml:space="preserve">Start Your Children or Grandchildren on </w:t>
      </w:r>
      <w:r w:rsidR="004612E2">
        <w:rPr>
          <w:rFonts w:eastAsia="Calibri" w:cs="Times New Roman"/>
          <w:b/>
          <w:color w:val="2E74B5" w:themeColor="accent1" w:themeShade="BF"/>
          <w:sz w:val="28"/>
          <w:szCs w:val="23"/>
        </w:rPr>
        <w:br/>
      </w:r>
      <w:r w:rsidR="00B85F41" w:rsidRPr="001D404B">
        <w:rPr>
          <w:rFonts w:eastAsia="Calibri" w:cs="Times New Roman"/>
          <w:b/>
          <w:color w:val="2E74B5" w:themeColor="accent1" w:themeShade="BF"/>
          <w:sz w:val="28"/>
          <w:szCs w:val="23"/>
        </w:rPr>
        <w:t xml:space="preserve">Their Way </w:t>
      </w:r>
      <w:proofErr w:type="gramStart"/>
      <w:r w:rsidR="007D7628">
        <w:rPr>
          <w:rFonts w:eastAsia="Calibri" w:cs="Times New Roman"/>
          <w:b/>
          <w:color w:val="2E74B5" w:themeColor="accent1" w:themeShade="BF"/>
          <w:sz w:val="28"/>
          <w:szCs w:val="23"/>
        </w:rPr>
        <w:t>T</w:t>
      </w:r>
      <w:r w:rsidR="00016F97" w:rsidRPr="001D404B">
        <w:rPr>
          <w:rFonts w:eastAsia="Calibri" w:cs="Times New Roman"/>
          <w:b/>
          <w:color w:val="2E74B5" w:themeColor="accent1" w:themeShade="BF"/>
          <w:sz w:val="28"/>
          <w:szCs w:val="23"/>
        </w:rPr>
        <w:t>oward</w:t>
      </w:r>
      <w:proofErr w:type="gramEnd"/>
      <w:r w:rsidR="00B85F41" w:rsidRPr="001D404B">
        <w:rPr>
          <w:rFonts w:eastAsia="Calibri" w:cs="Times New Roman"/>
          <w:b/>
          <w:color w:val="2E74B5" w:themeColor="accent1" w:themeShade="BF"/>
          <w:sz w:val="28"/>
          <w:szCs w:val="23"/>
        </w:rPr>
        <w:t xml:space="preserve"> a Healthier Retirement</w:t>
      </w:r>
      <w:bookmarkStart w:id="0" w:name="_GoBack"/>
      <w:bookmarkEnd w:id="0"/>
      <w:r w:rsidR="00016084">
        <w:rPr>
          <w:rFonts w:eastAsia="Calibri" w:cs="Times New Roman"/>
          <w:b/>
          <w:color w:val="2E74B5" w:themeColor="accent1" w:themeShade="BF"/>
          <w:sz w:val="28"/>
          <w:szCs w:val="23"/>
        </w:rPr>
        <w:br/>
      </w:r>
      <w:r w:rsidR="006E117F" w:rsidRPr="006E117F">
        <w:rPr>
          <w:rFonts w:eastAsiaTheme="minorEastAsia"/>
          <w:color w:val="000000"/>
          <w:sz w:val="28"/>
          <w:szCs w:val="28"/>
        </w:rPr>
        <w:t>Charles L. Schlapp, CFP</w:t>
      </w:r>
      <w:r w:rsidR="006E117F" w:rsidRPr="006E117F">
        <w:rPr>
          <w:rFonts w:eastAsiaTheme="minorEastAsia" w:cstheme="minorHAnsi"/>
          <w:color w:val="000000"/>
          <w:sz w:val="28"/>
          <w:szCs w:val="28"/>
        </w:rPr>
        <w:t>®</w:t>
      </w:r>
      <w:r w:rsidR="00016084" w:rsidRPr="00A86B33">
        <w:rPr>
          <w:b/>
          <w:color w:val="2E74B5" w:themeColor="accent1" w:themeShade="BF"/>
          <w:sz w:val="40"/>
          <w:szCs w:val="23"/>
        </w:rPr>
        <w:br/>
      </w:r>
      <w:r w:rsidR="00016084">
        <w:rPr>
          <w:rFonts w:eastAsia="Calibri" w:cs="Times New Roman"/>
          <w:b/>
          <w:color w:val="2E74B5" w:themeColor="accent1" w:themeShade="BF"/>
          <w:sz w:val="4"/>
          <w:szCs w:val="4"/>
        </w:rPr>
        <w:br/>
      </w:r>
      <w:r w:rsidR="00016084">
        <w:rPr>
          <w:rFonts w:eastAsia="Calibri" w:cs="Times New Roman"/>
          <w:b/>
          <w:color w:val="2E74B5" w:themeColor="accent1" w:themeShade="BF"/>
          <w:sz w:val="4"/>
          <w:szCs w:val="4"/>
        </w:rPr>
        <w:br/>
      </w:r>
      <w:r w:rsidR="00016084">
        <w:rPr>
          <w:rFonts w:eastAsia="Calibri" w:cs="Times New Roman"/>
          <w:b/>
          <w:color w:val="2E74B5" w:themeColor="accent1" w:themeShade="BF"/>
          <w:sz w:val="4"/>
          <w:szCs w:val="4"/>
        </w:rPr>
        <w:br/>
      </w:r>
      <w:r w:rsidR="00016084">
        <w:rPr>
          <w:rFonts w:eastAsia="Calibri" w:cs="Times New Roman"/>
          <w:b/>
          <w:color w:val="2E74B5" w:themeColor="accent1" w:themeShade="BF"/>
          <w:sz w:val="4"/>
          <w:szCs w:val="4"/>
        </w:rPr>
        <w:br/>
      </w:r>
      <w:r w:rsidR="00016084">
        <w:rPr>
          <w:rFonts w:eastAsia="Calibri" w:cs="Times New Roman"/>
          <w:b/>
          <w:color w:val="2E74B5" w:themeColor="accent1" w:themeShade="BF"/>
          <w:sz w:val="4"/>
          <w:szCs w:val="4"/>
        </w:rPr>
        <w:br/>
      </w:r>
      <w:r w:rsidR="00016084">
        <w:rPr>
          <w:rFonts w:eastAsia="Calibri" w:cs="Times New Roman"/>
          <w:b/>
          <w:color w:val="2E74B5" w:themeColor="accent1" w:themeShade="BF"/>
          <w:sz w:val="4"/>
          <w:szCs w:val="4"/>
        </w:rPr>
        <w:br/>
      </w:r>
    </w:p>
    <w:p w:rsidR="002043FD" w:rsidRPr="00B351BA" w:rsidRDefault="002043FD" w:rsidP="00016084">
      <w:pPr>
        <w:pBdr>
          <w:top w:val="single" w:sz="4" w:space="0" w:color="auto"/>
        </w:pBdr>
        <w:spacing w:after="0" w:line="240" w:lineRule="auto"/>
        <w:ind w:right="3690"/>
        <w:jc w:val="both"/>
        <w:rPr>
          <w:rFonts w:ascii="Times New Roman" w:eastAsia="Times New Roman" w:hAnsi="Times New Roman" w:cs="Times New Roman"/>
          <w:color w:val="0D0D0D" w:themeColor="text1" w:themeTint="F2"/>
          <w:sz w:val="24"/>
          <w:szCs w:val="24"/>
        </w:rPr>
        <w:sectPr w:rsidR="002043FD" w:rsidRPr="00B351BA" w:rsidSect="00016084">
          <w:pgSz w:w="12240" w:h="15840"/>
          <w:pgMar w:top="720" w:right="0" w:bottom="720" w:left="720" w:header="720" w:footer="720" w:gutter="0"/>
          <w:cols w:space="720"/>
          <w:docGrid w:linePitch="360"/>
        </w:sectPr>
      </w:pPr>
    </w:p>
    <w:tbl>
      <w:tblPr>
        <w:tblStyle w:val="TableGrid"/>
        <w:tblpPr w:leftFromText="187" w:rightFromText="187" w:bottomFromText="274" w:vertAnchor="text" w:horzAnchor="margin" w:tblpXSpec="right" w:tblpY="231"/>
        <w:tblOverlap w:val="never"/>
        <w:tblW w:w="5044" w:type="dxa"/>
        <w:tblBorders>
          <w:top w:val="dashSmallGap" w:sz="4" w:space="0" w:color="002060"/>
          <w:left w:val="dashSmallGap" w:sz="4" w:space="0" w:color="002060"/>
          <w:bottom w:val="dashSmallGap" w:sz="4" w:space="0" w:color="002060"/>
          <w:right w:val="dashSmallGap" w:sz="4" w:space="0" w:color="002060"/>
          <w:insideH w:val="dashSmallGap" w:sz="4" w:space="0" w:color="002060"/>
          <w:insideV w:val="dashSmallGap" w:sz="4" w:space="0" w:color="002060"/>
        </w:tblBorders>
        <w:tblLook w:val="04A0" w:firstRow="1" w:lastRow="0" w:firstColumn="1" w:lastColumn="0" w:noHBand="0" w:noVBand="1"/>
      </w:tblPr>
      <w:tblGrid>
        <w:gridCol w:w="2605"/>
        <w:gridCol w:w="2430"/>
        <w:gridCol w:w="9"/>
      </w:tblGrid>
      <w:tr w:rsidR="00010272" w:rsidTr="00AE6B3D">
        <w:trPr>
          <w:trHeight w:val="170"/>
        </w:trPr>
        <w:tc>
          <w:tcPr>
            <w:tcW w:w="5044" w:type="dxa"/>
            <w:gridSpan w:val="3"/>
            <w:shd w:val="clear" w:color="auto" w:fill="0070C0"/>
            <w:vAlign w:val="center"/>
          </w:tcPr>
          <w:p w:rsidR="00010272" w:rsidRPr="00A5705F" w:rsidRDefault="00010272" w:rsidP="00AE6B3D">
            <w:pPr>
              <w:ind w:left="67" w:right="83"/>
              <w:jc w:val="center"/>
              <w:rPr>
                <w:b/>
              </w:rPr>
            </w:pPr>
            <w:r w:rsidRPr="00010272">
              <w:rPr>
                <w:b/>
                <w:color w:val="FFFFFF" w:themeColor="background1"/>
                <w:sz w:val="32"/>
                <w14:shadow w14:blurRad="50800" w14:dist="38100" w14:dir="2700000" w14:sx="100000" w14:sy="100000" w14:kx="0" w14:ky="0" w14:algn="tl">
                  <w14:srgbClr w14:val="000000">
                    <w14:alpha w14:val="60000"/>
                  </w14:srgbClr>
                </w14:shadow>
              </w:rPr>
              <w:t>ROTH IRA 2018</w:t>
            </w:r>
          </w:p>
        </w:tc>
      </w:tr>
      <w:tr w:rsidR="00010272" w:rsidTr="00AE6B3D">
        <w:trPr>
          <w:gridAfter w:val="1"/>
          <w:wAfter w:w="9" w:type="dxa"/>
        </w:trPr>
        <w:tc>
          <w:tcPr>
            <w:tcW w:w="2605" w:type="dxa"/>
            <w:vAlign w:val="center"/>
          </w:tcPr>
          <w:p w:rsidR="00010272" w:rsidRPr="00010272" w:rsidRDefault="00010272" w:rsidP="00AE6B3D">
            <w:pPr>
              <w:ind w:left="-23"/>
              <w:rPr>
                <w:rFonts w:asciiTheme="majorHAnsi" w:hAnsiTheme="majorHAnsi"/>
                <w:color w:val="1F3864" w:themeColor="accent5" w:themeShade="80"/>
                <w:szCs w:val="21"/>
              </w:rPr>
            </w:pPr>
            <w:r w:rsidRPr="00010272">
              <w:rPr>
                <w:rFonts w:asciiTheme="majorHAnsi" w:hAnsiTheme="majorHAnsi"/>
                <w:color w:val="1F3864" w:themeColor="accent5" w:themeShade="80"/>
                <w:szCs w:val="21"/>
              </w:rPr>
              <w:t>Roth IRA Contribution Limit</w:t>
            </w:r>
          </w:p>
        </w:tc>
        <w:tc>
          <w:tcPr>
            <w:tcW w:w="2430" w:type="dxa"/>
            <w:vAlign w:val="center"/>
          </w:tcPr>
          <w:p w:rsidR="00010272" w:rsidRPr="00010272" w:rsidRDefault="00010272" w:rsidP="00AE6B3D">
            <w:pPr>
              <w:ind w:left="-23"/>
              <w:rPr>
                <w:rFonts w:asciiTheme="majorHAnsi" w:hAnsiTheme="majorHAnsi"/>
                <w:color w:val="1F3864" w:themeColor="accent5" w:themeShade="80"/>
                <w:szCs w:val="21"/>
              </w:rPr>
            </w:pPr>
            <w:r w:rsidRPr="00010272">
              <w:rPr>
                <w:rFonts w:asciiTheme="majorHAnsi" w:hAnsiTheme="majorHAnsi"/>
                <w:color w:val="1F3864" w:themeColor="accent5" w:themeShade="80"/>
                <w:szCs w:val="21"/>
              </w:rPr>
              <w:t xml:space="preserve">$5,500 </w:t>
            </w:r>
            <w:r>
              <w:rPr>
                <w:rFonts w:asciiTheme="majorHAnsi" w:hAnsiTheme="majorHAnsi"/>
                <w:color w:val="1F3864" w:themeColor="accent5" w:themeShade="80"/>
                <w:szCs w:val="21"/>
              </w:rPr>
              <w:br/>
            </w:r>
            <w:r w:rsidRPr="00010272">
              <w:rPr>
                <w:rFonts w:asciiTheme="majorHAnsi" w:hAnsiTheme="majorHAnsi"/>
                <w:color w:val="1F3864" w:themeColor="accent5" w:themeShade="80"/>
                <w:szCs w:val="21"/>
              </w:rPr>
              <w:t>($6,500 if over 50)</w:t>
            </w:r>
          </w:p>
        </w:tc>
      </w:tr>
      <w:tr w:rsidR="00010272" w:rsidTr="00AE6B3D">
        <w:trPr>
          <w:gridAfter w:val="1"/>
          <w:wAfter w:w="9" w:type="dxa"/>
        </w:trPr>
        <w:tc>
          <w:tcPr>
            <w:tcW w:w="2605" w:type="dxa"/>
            <w:vAlign w:val="center"/>
          </w:tcPr>
          <w:p w:rsidR="00010272" w:rsidRPr="00010272" w:rsidRDefault="00010272" w:rsidP="00AE6B3D">
            <w:pPr>
              <w:ind w:left="-23"/>
              <w:rPr>
                <w:rFonts w:asciiTheme="majorHAnsi" w:hAnsiTheme="majorHAnsi"/>
                <w:color w:val="1F3864" w:themeColor="accent5" w:themeShade="80"/>
                <w:szCs w:val="21"/>
              </w:rPr>
            </w:pPr>
            <w:r w:rsidRPr="00010272">
              <w:rPr>
                <w:rFonts w:asciiTheme="majorHAnsi" w:hAnsiTheme="majorHAnsi"/>
                <w:color w:val="1F3864" w:themeColor="accent5" w:themeShade="80"/>
                <w:szCs w:val="21"/>
              </w:rPr>
              <w:t>Roth IRA Income Limits - for single filers</w:t>
            </w:r>
          </w:p>
        </w:tc>
        <w:tc>
          <w:tcPr>
            <w:tcW w:w="2430" w:type="dxa"/>
            <w:vAlign w:val="center"/>
          </w:tcPr>
          <w:p w:rsidR="00010272" w:rsidRPr="00010272" w:rsidRDefault="00010272" w:rsidP="00AE6B3D">
            <w:pPr>
              <w:ind w:left="-23"/>
              <w:rPr>
                <w:rFonts w:asciiTheme="majorHAnsi" w:hAnsiTheme="majorHAnsi"/>
                <w:color w:val="1F3864" w:themeColor="accent5" w:themeShade="80"/>
                <w:szCs w:val="21"/>
              </w:rPr>
            </w:pPr>
            <w:r w:rsidRPr="00010272">
              <w:rPr>
                <w:rFonts w:asciiTheme="majorHAnsi" w:hAnsiTheme="majorHAnsi"/>
                <w:color w:val="1F3864" w:themeColor="accent5" w:themeShade="80"/>
                <w:szCs w:val="21"/>
              </w:rPr>
              <w:t>Phase-out starts at $120,000; ineligible at $135,000</w:t>
            </w:r>
          </w:p>
        </w:tc>
      </w:tr>
      <w:tr w:rsidR="00010272" w:rsidTr="00AE6B3D">
        <w:trPr>
          <w:gridAfter w:val="1"/>
          <w:wAfter w:w="9" w:type="dxa"/>
        </w:trPr>
        <w:tc>
          <w:tcPr>
            <w:tcW w:w="2605" w:type="dxa"/>
            <w:vAlign w:val="center"/>
          </w:tcPr>
          <w:p w:rsidR="00010272" w:rsidRPr="00010272" w:rsidRDefault="00010272" w:rsidP="00AE6B3D">
            <w:pPr>
              <w:ind w:left="-23"/>
              <w:rPr>
                <w:rFonts w:asciiTheme="majorHAnsi" w:hAnsiTheme="majorHAnsi"/>
                <w:color w:val="1F3864" w:themeColor="accent5" w:themeShade="80"/>
                <w:szCs w:val="21"/>
              </w:rPr>
            </w:pPr>
            <w:r w:rsidRPr="00010272">
              <w:rPr>
                <w:rFonts w:asciiTheme="majorHAnsi" w:hAnsiTheme="majorHAnsi"/>
                <w:color w:val="1F3864" w:themeColor="accent5" w:themeShade="80"/>
                <w:szCs w:val="21"/>
              </w:rPr>
              <w:t>Roth IRA Income Limits - for married filing jointly and qualifying widow(</w:t>
            </w:r>
            <w:proofErr w:type="spellStart"/>
            <w:r w:rsidRPr="00010272">
              <w:rPr>
                <w:rFonts w:asciiTheme="majorHAnsi" w:hAnsiTheme="majorHAnsi"/>
                <w:color w:val="1F3864" w:themeColor="accent5" w:themeShade="80"/>
                <w:szCs w:val="21"/>
              </w:rPr>
              <w:t>er</w:t>
            </w:r>
            <w:proofErr w:type="spellEnd"/>
            <w:r w:rsidRPr="00010272">
              <w:rPr>
                <w:rFonts w:asciiTheme="majorHAnsi" w:hAnsiTheme="majorHAnsi"/>
                <w:color w:val="1F3864" w:themeColor="accent5" w:themeShade="80"/>
                <w:szCs w:val="21"/>
              </w:rPr>
              <w:t>) filers</w:t>
            </w:r>
          </w:p>
        </w:tc>
        <w:tc>
          <w:tcPr>
            <w:tcW w:w="2430" w:type="dxa"/>
            <w:vAlign w:val="center"/>
          </w:tcPr>
          <w:p w:rsidR="00010272" w:rsidRPr="00010272" w:rsidRDefault="00010272" w:rsidP="00AE6B3D">
            <w:pPr>
              <w:ind w:left="-23"/>
              <w:rPr>
                <w:rFonts w:asciiTheme="majorHAnsi" w:hAnsiTheme="majorHAnsi"/>
                <w:color w:val="1F3864" w:themeColor="accent5" w:themeShade="80"/>
                <w:szCs w:val="21"/>
              </w:rPr>
            </w:pPr>
            <w:r w:rsidRPr="00010272">
              <w:rPr>
                <w:rFonts w:asciiTheme="majorHAnsi" w:hAnsiTheme="majorHAnsi"/>
                <w:color w:val="1F3864" w:themeColor="accent5" w:themeShade="80"/>
                <w:szCs w:val="21"/>
              </w:rPr>
              <w:t>Phase-out starts at $189,000; ineligible at $199,000</w:t>
            </w:r>
          </w:p>
        </w:tc>
      </w:tr>
    </w:tbl>
    <w:p w:rsidR="00D124D4" w:rsidRPr="00DA7EA8" w:rsidRDefault="00D124D4" w:rsidP="00695351">
      <w:pPr>
        <w:pStyle w:val="NormalWeb"/>
        <w:spacing w:before="0" w:beforeAutospacing="0" w:after="0" w:afterAutospacing="0"/>
        <w:jc w:val="both"/>
        <w:textAlignment w:val="baseline"/>
        <w:rPr>
          <w:color w:val="0D0D0D" w:themeColor="text1" w:themeTint="F2"/>
          <w:sz w:val="22"/>
          <w:szCs w:val="22"/>
        </w:rPr>
      </w:pPr>
      <w:bookmarkStart w:id="1" w:name="_Hlk515951628"/>
      <w:r>
        <w:rPr>
          <w:b/>
          <w:color w:val="0D0D0D" w:themeColor="text1" w:themeTint="F2"/>
          <w:sz w:val="28"/>
          <w:szCs w:val="28"/>
        </w:rPr>
        <w:lastRenderedPageBreak/>
        <w:t>P</w:t>
      </w:r>
      <w:r w:rsidRPr="00DA7EA8">
        <w:rPr>
          <w:color w:val="0D0D0D" w:themeColor="text1" w:themeTint="F2"/>
          <w:sz w:val="22"/>
          <w:szCs w:val="22"/>
        </w:rPr>
        <w:t xml:space="preserve">aying taxes </w:t>
      </w:r>
      <w:r w:rsidR="004612E2">
        <w:rPr>
          <w:color w:val="0D0D0D" w:themeColor="text1" w:themeTint="F2"/>
          <w:sz w:val="22"/>
          <w:szCs w:val="22"/>
        </w:rPr>
        <w:t>is so engrained in our lives</w:t>
      </w:r>
      <w:r w:rsidRPr="00DA7EA8">
        <w:rPr>
          <w:color w:val="0D0D0D" w:themeColor="text1" w:themeTint="F2"/>
          <w:sz w:val="22"/>
          <w:szCs w:val="22"/>
        </w:rPr>
        <w:t xml:space="preserve"> that many people do not even think about tax reduction until it’s time to file their tax returns. Unfortunately, by that point it’s usually too late to implement a strategy for minimizing their tax bill.</w:t>
      </w:r>
    </w:p>
    <w:p w:rsidR="00916A8F" w:rsidRPr="00DA7EA8" w:rsidRDefault="00916A8F" w:rsidP="00695351">
      <w:pPr>
        <w:pStyle w:val="NormalWeb"/>
        <w:spacing w:before="0" w:beforeAutospacing="0" w:after="0" w:afterAutospacing="0"/>
        <w:jc w:val="both"/>
        <w:textAlignment w:val="baseline"/>
        <w:rPr>
          <w:color w:val="0D0D0D" w:themeColor="text1" w:themeTint="F2"/>
          <w:sz w:val="22"/>
          <w:szCs w:val="22"/>
        </w:rPr>
      </w:pPr>
    </w:p>
    <w:p w:rsidR="00695351" w:rsidRPr="00DA7EA8" w:rsidRDefault="00D124D4" w:rsidP="00695351">
      <w:pPr>
        <w:pStyle w:val="NormalWeb"/>
        <w:spacing w:before="0" w:beforeAutospacing="0" w:after="0" w:afterAutospacing="0"/>
        <w:jc w:val="both"/>
        <w:textAlignment w:val="baseline"/>
        <w:rPr>
          <w:color w:val="0D0D0D" w:themeColor="text1" w:themeTint="F2"/>
          <w:sz w:val="22"/>
          <w:szCs w:val="22"/>
        </w:rPr>
      </w:pPr>
      <w:r w:rsidRPr="00DA7EA8">
        <w:rPr>
          <w:color w:val="0D0D0D" w:themeColor="text1" w:themeTint="F2"/>
          <w:sz w:val="22"/>
          <w:szCs w:val="22"/>
        </w:rPr>
        <w:t>I</w:t>
      </w:r>
      <w:r w:rsidR="00A079E0" w:rsidRPr="00DA7EA8">
        <w:rPr>
          <w:color w:val="0D0D0D" w:themeColor="text1" w:themeTint="F2"/>
          <w:sz w:val="22"/>
          <w:szCs w:val="22"/>
        </w:rPr>
        <w:t xml:space="preserve">t’s extremely important that </w:t>
      </w:r>
      <w:r w:rsidR="007C0814" w:rsidRPr="00DA7EA8">
        <w:rPr>
          <w:color w:val="0D0D0D" w:themeColor="text1" w:themeTint="F2"/>
          <w:sz w:val="22"/>
          <w:szCs w:val="22"/>
        </w:rPr>
        <w:t>you</w:t>
      </w:r>
      <w:r w:rsidR="00A079E0" w:rsidRPr="00DA7EA8">
        <w:rPr>
          <w:color w:val="0D0D0D" w:themeColor="text1" w:themeTint="F2"/>
          <w:sz w:val="22"/>
          <w:szCs w:val="22"/>
        </w:rPr>
        <w:t xml:space="preserve"> take </w:t>
      </w:r>
      <w:r w:rsidR="007C0814" w:rsidRPr="00DA7EA8">
        <w:rPr>
          <w:color w:val="0D0D0D" w:themeColor="text1" w:themeTint="F2"/>
          <w:sz w:val="22"/>
          <w:szCs w:val="22"/>
        </w:rPr>
        <w:t>y</w:t>
      </w:r>
      <w:r w:rsidR="00A079E0" w:rsidRPr="00DA7EA8">
        <w:rPr>
          <w:color w:val="0D0D0D" w:themeColor="text1" w:themeTint="F2"/>
          <w:sz w:val="22"/>
          <w:szCs w:val="22"/>
        </w:rPr>
        <w:t xml:space="preserve">our </w:t>
      </w:r>
      <w:r w:rsidRPr="00DA7EA8">
        <w:rPr>
          <w:color w:val="0D0D0D" w:themeColor="text1" w:themeTint="F2"/>
          <w:sz w:val="22"/>
          <w:szCs w:val="22"/>
        </w:rPr>
        <w:t>tax efficiency</w:t>
      </w:r>
      <w:r w:rsidR="007C0814" w:rsidRPr="00DA7EA8">
        <w:rPr>
          <w:color w:val="0D0D0D" w:themeColor="text1" w:themeTint="F2"/>
          <w:sz w:val="22"/>
          <w:szCs w:val="22"/>
        </w:rPr>
        <w:t xml:space="preserve"> into your own hands. T</w:t>
      </w:r>
      <w:r w:rsidR="00A079E0" w:rsidRPr="00DA7EA8">
        <w:rPr>
          <w:color w:val="0D0D0D" w:themeColor="text1" w:themeTint="F2"/>
          <w:sz w:val="22"/>
          <w:szCs w:val="22"/>
        </w:rPr>
        <w:t xml:space="preserve">he concept of </w:t>
      </w:r>
      <w:r w:rsidR="00770622">
        <w:rPr>
          <w:color w:val="0D0D0D" w:themeColor="text1" w:themeTint="F2"/>
          <w:sz w:val="22"/>
          <w:szCs w:val="22"/>
        </w:rPr>
        <w:t>“</w:t>
      </w:r>
      <w:r w:rsidRPr="00DA7EA8">
        <w:rPr>
          <w:color w:val="0D0D0D" w:themeColor="text1" w:themeTint="F2"/>
          <w:sz w:val="22"/>
          <w:szCs w:val="22"/>
        </w:rPr>
        <w:t>let’</w:t>
      </w:r>
      <w:r w:rsidR="00695351" w:rsidRPr="00DA7EA8">
        <w:rPr>
          <w:color w:val="0D0D0D" w:themeColor="text1" w:themeTint="F2"/>
          <w:sz w:val="22"/>
          <w:szCs w:val="22"/>
        </w:rPr>
        <w:t>s deal with taxes</w:t>
      </w:r>
      <w:r w:rsidRPr="00DA7EA8">
        <w:rPr>
          <w:color w:val="0D0D0D" w:themeColor="text1" w:themeTint="F2"/>
          <w:sz w:val="22"/>
          <w:szCs w:val="22"/>
        </w:rPr>
        <w:t xml:space="preserve"> when the time comes</w:t>
      </w:r>
      <w:r w:rsidR="007D7628">
        <w:rPr>
          <w:color w:val="0D0D0D" w:themeColor="text1" w:themeTint="F2"/>
          <w:sz w:val="22"/>
          <w:szCs w:val="22"/>
        </w:rPr>
        <w:t>,</w:t>
      </w:r>
      <w:r w:rsidR="00770622">
        <w:rPr>
          <w:color w:val="0D0D0D" w:themeColor="text1" w:themeTint="F2"/>
          <w:sz w:val="22"/>
          <w:szCs w:val="22"/>
        </w:rPr>
        <w:t>”</w:t>
      </w:r>
      <w:r w:rsidRPr="00DA7EA8">
        <w:rPr>
          <w:color w:val="0D0D0D" w:themeColor="text1" w:themeTint="F2"/>
          <w:sz w:val="22"/>
          <w:szCs w:val="22"/>
        </w:rPr>
        <w:t xml:space="preserve"> many times </w:t>
      </w:r>
      <w:r w:rsidR="00A079E0" w:rsidRPr="00DA7EA8">
        <w:rPr>
          <w:color w:val="0D0D0D" w:themeColor="text1" w:themeTint="F2"/>
          <w:sz w:val="22"/>
          <w:szCs w:val="22"/>
        </w:rPr>
        <w:t xml:space="preserve">is </w:t>
      </w:r>
      <w:r w:rsidR="00770622">
        <w:rPr>
          <w:color w:val="0D0D0D" w:themeColor="text1" w:themeTint="F2"/>
          <w:sz w:val="22"/>
          <w:szCs w:val="22"/>
        </w:rPr>
        <w:t xml:space="preserve">usually </w:t>
      </w:r>
      <w:r w:rsidR="00A079E0" w:rsidRPr="00DA7EA8">
        <w:rPr>
          <w:color w:val="0D0D0D" w:themeColor="text1" w:themeTint="F2"/>
          <w:sz w:val="22"/>
          <w:szCs w:val="22"/>
        </w:rPr>
        <w:t xml:space="preserve">not the best plan. </w:t>
      </w:r>
      <w:r w:rsidR="00695351" w:rsidRPr="00DA7EA8">
        <w:rPr>
          <w:color w:val="0D0D0D" w:themeColor="text1" w:themeTint="F2"/>
          <w:sz w:val="22"/>
          <w:szCs w:val="22"/>
        </w:rPr>
        <w:t>One of the biggest tax benefits available to most investors is the ability to defer taxes offered by retirement savings accounts, such as 401(k)s, 403(b)s and IRAs.  Through the use of tax deferrals, investors have the opportunity to grow their wealth faster.</w:t>
      </w:r>
    </w:p>
    <w:p w:rsidR="00695351" w:rsidRPr="00695351" w:rsidRDefault="00695351" w:rsidP="00695351">
      <w:pPr>
        <w:pStyle w:val="NormalWeb"/>
        <w:spacing w:before="0" w:beforeAutospacing="0" w:after="0" w:afterAutospacing="0"/>
        <w:jc w:val="both"/>
        <w:textAlignment w:val="baseline"/>
        <w:rPr>
          <w:color w:val="0D0D0D" w:themeColor="text1" w:themeTint="F2"/>
          <w:sz w:val="22"/>
          <w:szCs w:val="21"/>
        </w:rPr>
      </w:pPr>
    </w:p>
    <w:p w:rsidR="00695351" w:rsidRPr="00DA7EA8" w:rsidRDefault="00695351" w:rsidP="00695351">
      <w:pPr>
        <w:pStyle w:val="NormalWeb"/>
        <w:spacing w:before="0" w:beforeAutospacing="0" w:after="0" w:afterAutospacing="0"/>
        <w:jc w:val="both"/>
        <w:textAlignment w:val="baseline"/>
        <w:rPr>
          <w:color w:val="0D0D0D" w:themeColor="text1" w:themeTint="F2"/>
          <w:sz w:val="22"/>
          <w:szCs w:val="22"/>
        </w:rPr>
      </w:pPr>
      <w:r w:rsidRPr="00DA7EA8">
        <w:rPr>
          <w:color w:val="0D0D0D" w:themeColor="text1" w:themeTint="F2"/>
          <w:sz w:val="22"/>
          <w:szCs w:val="22"/>
        </w:rPr>
        <w:t>Traditional retirement accounts can offer a potential double dose of tax advantages</w:t>
      </w:r>
      <w:r w:rsidR="00770622">
        <w:rPr>
          <w:color w:val="0D0D0D" w:themeColor="text1" w:themeTint="F2"/>
          <w:sz w:val="22"/>
          <w:szCs w:val="22"/>
        </w:rPr>
        <w:t>. For those who qualify</w:t>
      </w:r>
      <w:r w:rsidRPr="00DA7EA8">
        <w:rPr>
          <w:color w:val="0D0D0D" w:themeColor="text1" w:themeTint="F2"/>
          <w:sz w:val="22"/>
          <w:szCs w:val="22"/>
        </w:rPr>
        <w:t>, contributions ma</w:t>
      </w:r>
      <w:r w:rsidR="00770622">
        <w:rPr>
          <w:color w:val="0D0D0D" w:themeColor="text1" w:themeTint="F2"/>
          <w:sz w:val="22"/>
          <w:szCs w:val="22"/>
        </w:rPr>
        <w:t>de</w:t>
      </w:r>
      <w:r w:rsidRPr="00DA7EA8">
        <w:rPr>
          <w:color w:val="0D0D0D" w:themeColor="text1" w:themeTint="F2"/>
          <w:sz w:val="22"/>
          <w:szCs w:val="22"/>
        </w:rPr>
        <w:t xml:space="preserve"> may reduce current taxable income (</w:t>
      </w:r>
      <w:r w:rsidR="009149A9">
        <w:rPr>
          <w:color w:val="0D0D0D" w:themeColor="text1" w:themeTint="F2"/>
          <w:sz w:val="22"/>
          <w:szCs w:val="22"/>
        </w:rPr>
        <w:t>when</w:t>
      </w:r>
      <w:r w:rsidRPr="00DA7EA8">
        <w:rPr>
          <w:color w:val="0D0D0D" w:themeColor="text1" w:themeTint="F2"/>
          <w:sz w:val="22"/>
          <w:szCs w:val="22"/>
        </w:rPr>
        <w:t xml:space="preserve"> income eligibility requirements are met) and any investment growth is tax-deferred. After age 70½, however, there are required minimum distributions (RMDs) that you must take. Also, upon death, your beneficiaries will be required to pay taxes.</w:t>
      </w:r>
    </w:p>
    <w:p w:rsidR="00695351" w:rsidRPr="00DA7EA8" w:rsidRDefault="00695351" w:rsidP="00695351">
      <w:pPr>
        <w:pStyle w:val="NormalWeb"/>
        <w:jc w:val="both"/>
        <w:rPr>
          <w:color w:val="0D0D0D" w:themeColor="text1" w:themeTint="F2"/>
          <w:sz w:val="22"/>
          <w:szCs w:val="22"/>
        </w:rPr>
      </w:pPr>
      <w:r w:rsidRPr="00DA7EA8">
        <w:rPr>
          <w:color w:val="0D0D0D" w:themeColor="text1" w:themeTint="F2"/>
          <w:sz w:val="22"/>
          <w:szCs w:val="22"/>
        </w:rPr>
        <w:t xml:space="preserve">Roth IRAs are different.  With a Roth IRA (if income eligibility requirements are met) you can only contribute after-tax dollars. </w:t>
      </w:r>
      <w:r w:rsidR="00657F7F" w:rsidRPr="00DA7EA8">
        <w:rPr>
          <w:color w:val="0D0D0D" w:themeColor="text1" w:themeTint="F2"/>
          <w:sz w:val="22"/>
          <w:szCs w:val="22"/>
        </w:rPr>
        <w:t>A Roth IRA contribution won’t reduce your taxable income the year you make it, however, there are no taxes on your future earnings and no penalties when you take a distribution, provided you hold the account for 5 years and meet one of the following conditions: you are age 59½ or older</w:t>
      </w:r>
      <w:r w:rsidR="006C1327">
        <w:rPr>
          <w:color w:val="0D0D0D" w:themeColor="text1" w:themeTint="F2"/>
          <w:sz w:val="22"/>
          <w:szCs w:val="22"/>
        </w:rPr>
        <w:t>;</w:t>
      </w:r>
      <w:r w:rsidR="00657F7F" w:rsidRPr="00DA7EA8">
        <w:rPr>
          <w:color w:val="0D0D0D" w:themeColor="text1" w:themeTint="F2"/>
          <w:sz w:val="22"/>
          <w:szCs w:val="22"/>
        </w:rPr>
        <w:t xml:space="preserve"> are disabled</w:t>
      </w:r>
      <w:r w:rsidR="006C1327">
        <w:rPr>
          <w:color w:val="0D0D0D" w:themeColor="text1" w:themeTint="F2"/>
          <w:sz w:val="22"/>
          <w:szCs w:val="22"/>
        </w:rPr>
        <w:t>;</w:t>
      </w:r>
      <w:r w:rsidR="00657F7F" w:rsidRPr="00DA7EA8">
        <w:rPr>
          <w:color w:val="0D0D0D" w:themeColor="text1" w:themeTint="F2"/>
          <w:sz w:val="22"/>
          <w:szCs w:val="22"/>
        </w:rPr>
        <w:t xml:space="preserve"> make a qualified first-time home purchase (lifetime limit $10,000)</w:t>
      </w:r>
      <w:r w:rsidR="006C1327">
        <w:rPr>
          <w:color w:val="0D0D0D" w:themeColor="text1" w:themeTint="F2"/>
          <w:sz w:val="22"/>
          <w:szCs w:val="22"/>
        </w:rPr>
        <w:t>;</w:t>
      </w:r>
      <w:r w:rsidR="00657F7F" w:rsidRPr="00DA7EA8">
        <w:rPr>
          <w:color w:val="0D0D0D" w:themeColor="text1" w:themeTint="F2"/>
          <w:sz w:val="22"/>
          <w:szCs w:val="22"/>
        </w:rPr>
        <w:t xml:space="preserve"> or have died. Also, be aware that while your earnings may be subject to taxes and penalties if withdrawn before those conditions are met, your contributions can be withdrawn at any time without tax or penalty.  </w:t>
      </w:r>
      <w:r w:rsidR="0067435D">
        <w:rPr>
          <w:color w:val="0D0D0D" w:themeColor="text1" w:themeTint="F2"/>
          <w:sz w:val="22"/>
          <w:szCs w:val="22"/>
        </w:rPr>
        <w:t>Roth IRA</w:t>
      </w:r>
      <w:r w:rsidRPr="00DA7EA8">
        <w:rPr>
          <w:color w:val="0D0D0D" w:themeColor="text1" w:themeTint="F2"/>
          <w:sz w:val="22"/>
          <w:szCs w:val="22"/>
        </w:rPr>
        <w:t>s have no required minimum distributions (RMDs) during the lifetime of the original owner so they can also be useful vehicles for estate planning.</w:t>
      </w:r>
    </w:p>
    <w:p w:rsidR="00695351" w:rsidRPr="00695351" w:rsidRDefault="00695351" w:rsidP="00695351">
      <w:pPr>
        <w:pStyle w:val="NormalWeb"/>
        <w:jc w:val="both"/>
        <w:rPr>
          <w:color w:val="0D0D0D" w:themeColor="text1" w:themeTint="F2"/>
          <w:sz w:val="23"/>
          <w:szCs w:val="23"/>
        </w:rPr>
      </w:pPr>
      <w:r w:rsidRPr="00DA7EA8">
        <w:rPr>
          <w:color w:val="0D0D0D" w:themeColor="text1" w:themeTint="F2"/>
          <w:sz w:val="22"/>
          <w:szCs w:val="22"/>
        </w:rPr>
        <w:t xml:space="preserve">Most experts agree that consistent funding of a retirement plan is a healthy activity.  The chart in this article shows the </w:t>
      </w:r>
      <w:r w:rsidR="000B2556">
        <w:rPr>
          <w:color w:val="0D0D0D" w:themeColor="text1" w:themeTint="F2"/>
          <w:sz w:val="22"/>
          <w:szCs w:val="22"/>
        </w:rPr>
        <w:t xml:space="preserve">2018 </w:t>
      </w:r>
      <w:r w:rsidRPr="00DA7EA8">
        <w:rPr>
          <w:color w:val="0D0D0D" w:themeColor="text1" w:themeTint="F2"/>
          <w:sz w:val="22"/>
          <w:szCs w:val="22"/>
        </w:rPr>
        <w:t>IRS income limits for</w:t>
      </w:r>
      <w:r w:rsidR="000B2556">
        <w:rPr>
          <w:color w:val="0D0D0D" w:themeColor="text1" w:themeTint="F2"/>
          <w:sz w:val="22"/>
          <w:szCs w:val="22"/>
        </w:rPr>
        <w:t xml:space="preserve"> those who contribute </w:t>
      </w:r>
      <w:r w:rsidRPr="00DA7EA8">
        <w:rPr>
          <w:color w:val="0D0D0D" w:themeColor="text1" w:themeTint="F2"/>
          <w:sz w:val="22"/>
          <w:szCs w:val="22"/>
        </w:rPr>
        <w:t>to Roth IRAs</w:t>
      </w:r>
      <w:r w:rsidRPr="00695351">
        <w:rPr>
          <w:color w:val="0D0D0D" w:themeColor="text1" w:themeTint="F2"/>
          <w:sz w:val="23"/>
          <w:szCs w:val="23"/>
        </w:rPr>
        <w:t>.</w:t>
      </w:r>
    </w:p>
    <w:p w:rsidR="00695351" w:rsidRPr="00DA7EA8" w:rsidRDefault="00695351" w:rsidP="00AE6B3D">
      <w:pPr>
        <w:pStyle w:val="NormalWeb"/>
        <w:shd w:val="clear" w:color="auto" w:fill="D5DCE4" w:themeFill="text2" w:themeFillTint="33"/>
        <w:jc w:val="center"/>
        <w:rPr>
          <w:b/>
          <w:color w:val="2F5496" w:themeColor="accent5" w:themeShade="BF"/>
          <w:sz w:val="28"/>
          <w:szCs w:val="26"/>
        </w:rPr>
      </w:pPr>
      <w:r w:rsidRPr="00AE6B3D">
        <w:rPr>
          <w:rFonts w:asciiTheme="minorHAnsi" w:eastAsiaTheme="minorHAnsi" w:hAnsiTheme="minorHAnsi" w:cstheme="minorBidi"/>
          <w:b/>
          <w:iCs/>
          <w:color w:val="1F4E79" w:themeColor="accent1" w:themeShade="80"/>
          <w:sz w:val="32"/>
          <w:szCs w:val="36"/>
        </w:rPr>
        <w:t xml:space="preserve">Considering Roth IRA </w:t>
      </w:r>
      <w:r w:rsidR="005D17AA">
        <w:rPr>
          <w:rFonts w:asciiTheme="minorHAnsi" w:eastAsiaTheme="minorHAnsi" w:hAnsiTheme="minorHAnsi" w:cstheme="minorBidi"/>
          <w:b/>
          <w:iCs/>
          <w:color w:val="1F4E79" w:themeColor="accent1" w:themeShade="80"/>
          <w:sz w:val="32"/>
          <w:szCs w:val="36"/>
        </w:rPr>
        <w:t>C</w:t>
      </w:r>
      <w:r w:rsidRPr="00AE6B3D">
        <w:rPr>
          <w:rFonts w:asciiTheme="minorHAnsi" w:eastAsiaTheme="minorHAnsi" w:hAnsiTheme="minorHAnsi" w:cstheme="minorBidi"/>
          <w:b/>
          <w:iCs/>
          <w:color w:val="1F4E79" w:themeColor="accent1" w:themeShade="80"/>
          <w:sz w:val="32"/>
          <w:szCs w:val="36"/>
        </w:rPr>
        <w:t>onversions</w:t>
      </w:r>
    </w:p>
    <w:p w:rsidR="00657F7F" w:rsidRPr="00DA7EA8" w:rsidRDefault="0067435D" w:rsidP="00B85F41">
      <w:pPr>
        <w:pStyle w:val="NormalWeb"/>
        <w:jc w:val="both"/>
        <w:rPr>
          <w:color w:val="0D0D0D" w:themeColor="text1" w:themeTint="F2"/>
          <w:sz w:val="22"/>
          <w:szCs w:val="22"/>
        </w:rPr>
      </w:pPr>
      <w:r>
        <w:rPr>
          <w:color w:val="0D0D0D" w:themeColor="text1" w:themeTint="F2"/>
          <w:sz w:val="22"/>
          <w:szCs w:val="22"/>
        </w:rPr>
        <w:t>Prior to 2010,</w:t>
      </w:r>
      <w:r w:rsidR="000B2556">
        <w:rPr>
          <w:color w:val="0D0D0D" w:themeColor="text1" w:themeTint="F2"/>
          <w:sz w:val="22"/>
          <w:szCs w:val="22"/>
        </w:rPr>
        <w:t xml:space="preserve"> to be able to convert from a t</w:t>
      </w:r>
      <w:r w:rsidR="00695351" w:rsidRPr="00DA7EA8">
        <w:rPr>
          <w:color w:val="0D0D0D" w:themeColor="text1" w:themeTint="F2"/>
          <w:sz w:val="22"/>
          <w:szCs w:val="22"/>
        </w:rPr>
        <w:t>raditional</w:t>
      </w:r>
      <w:r w:rsidR="000B2556">
        <w:rPr>
          <w:color w:val="0D0D0D" w:themeColor="text1" w:themeTint="F2"/>
          <w:sz w:val="22"/>
          <w:szCs w:val="22"/>
        </w:rPr>
        <w:t xml:space="preserve"> IRA</w:t>
      </w:r>
      <w:r w:rsidR="00695351" w:rsidRPr="00DA7EA8">
        <w:rPr>
          <w:color w:val="0D0D0D" w:themeColor="text1" w:themeTint="F2"/>
          <w:sz w:val="22"/>
          <w:szCs w:val="22"/>
        </w:rPr>
        <w:t xml:space="preserve"> to a Roth IRA</w:t>
      </w:r>
      <w:r w:rsidR="000B2556">
        <w:rPr>
          <w:color w:val="0D0D0D" w:themeColor="text1" w:themeTint="F2"/>
          <w:sz w:val="22"/>
          <w:szCs w:val="22"/>
        </w:rPr>
        <w:t>,</w:t>
      </w:r>
      <w:r w:rsidR="00695351" w:rsidRPr="00DA7EA8">
        <w:rPr>
          <w:color w:val="0D0D0D" w:themeColor="text1" w:themeTint="F2"/>
          <w:sz w:val="22"/>
          <w:szCs w:val="22"/>
        </w:rPr>
        <w:t xml:space="preserve"> your in</w:t>
      </w:r>
      <w:r w:rsidR="00657F7F" w:rsidRPr="00DA7EA8">
        <w:rPr>
          <w:color w:val="0D0D0D" w:themeColor="text1" w:themeTint="F2"/>
          <w:sz w:val="22"/>
          <w:szCs w:val="22"/>
        </w:rPr>
        <w:t>come needed to be under a certain limit</w:t>
      </w:r>
      <w:r w:rsidR="00695351" w:rsidRPr="00DA7EA8">
        <w:rPr>
          <w:color w:val="0D0D0D" w:themeColor="text1" w:themeTint="F2"/>
          <w:sz w:val="22"/>
          <w:szCs w:val="22"/>
        </w:rPr>
        <w:t>. The IRS rules have changed and there is no longer an income cap</w:t>
      </w:r>
      <w:r>
        <w:rPr>
          <w:color w:val="0D0D0D" w:themeColor="text1" w:themeTint="F2"/>
          <w:sz w:val="22"/>
          <w:szCs w:val="22"/>
        </w:rPr>
        <w:t xml:space="preserve"> for Roth IRA conversions</w:t>
      </w:r>
      <w:r w:rsidR="00695351" w:rsidRPr="00DA7EA8">
        <w:rPr>
          <w:color w:val="0D0D0D" w:themeColor="text1" w:themeTint="F2"/>
          <w:sz w:val="22"/>
          <w:szCs w:val="22"/>
        </w:rPr>
        <w:t>.</w:t>
      </w:r>
      <w:r w:rsidR="00657F7F" w:rsidRPr="00DA7EA8">
        <w:rPr>
          <w:color w:val="0D0D0D" w:themeColor="text1" w:themeTint="F2"/>
          <w:sz w:val="22"/>
          <w:szCs w:val="22"/>
        </w:rPr>
        <w:t xml:space="preserve"> With the cap removed, regardless of your income, anyone can now convert to a Roth IRA, as long as they pay the appropriate tax on the conversion.</w:t>
      </w:r>
      <w:r w:rsidR="00695351" w:rsidRPr="00DA7EA8">
        <w:rPr>
          <w:color w:val="0D0D0D" w:themeColor="text1" w:themeTint="F2"/>
          <w:sz w:val="22"/>
          <w:szCs w:val="22"/>
        </w:rPr>
        <w:t xml:space="preserve"> </w:t>
      </w:r>
      <w:r w:rsidR="00657F7F" w:rsidRPr="00DA7EA8">
        <w:rPr>
          <w:color w:val="0D0D0D" w:themeColor="text1" w:themeTint="F2"/>
          <w:sz w:val="22"/>
          <w:szCs w:val="22"/>
        </w:rPr>
        <w:t>If you convert to a Roth IRA, you will have to pay taxes on any tax-deferred deposits and investment gains at the time of the conversion.</w:t>
      </w:r>
    </w:p>
    <w:p w:rsidR="00657F7F" w:rsidRPr="00AE6B3D" w:rsidRDefault="00DA7EA8" w:rsidP="00AE6B3D">
      <w:pPr>
        <w:pStyle w:val="NormalWeb"/>
        <w:shd w:val="clear" w:color="auto" w:fill="D5DCE4" w:themeFill="text2" w:themeFillTint="33"/>
        <w:jc w:val="center"/>
        <w:rPr>
          <w:rFonts w:asciiTheme="minorHAnsi" w:eastAsiaTheme="minorHAnsi" w:hAnsiTheme="minorHAnsi" w:cstheme="minorBidi"/>
          <w:b/>
          <w:iCs/>
          <w:color w:val="1F4E79" w:themeColor="accent1" w:themeShade="80"/>
          <w:sz w:val="32"/>
          <w:szCs w:val="36"/>
        </w:rPr>
      </w:pPr>
      <w:r w:rsidRPr="00AE6B3D">
        <w:rPr>
          <w:rFonts w:asciiTheme="minorHAnsi" w:eastAsiaTheme="minorHAnsi" w:hAnsiTheme="minorHAnsi" w:cstheme="minorBidi"/>
          <w:b/>
          <w:iCs/>
          <w:color w:val="1F4E79" w:themeColor="accent1" w:themeShade="80"/>
          <w:sz w:val="32"/>
          <w:szCs w:val="36"/>
        </w:rPr>
        <w:t xml:space="preserve">Why </w:t>
      </w:r>
      <w:r w:rsidR="009A121F">
        <w:rPr>
          <w:rFonts w:asciiTheme="minorHAnsi" w:eastAsiaTheme="minorHAnsi" w:hAnsiTheme="minorHAnsi" w:cstheme="minorBidi"/>
          <w:b/>
          <w:iCs/>
          <w:color w:val="1F4E79" w:themeColor="accent1" w:themeShade="80"/>
          <w:sz w:val="32"/>
          <w:szCs w:val="36"/>
        </w:rPr>
        <w:t>C</w:t>
      </w:r>
      <w:r w:rsidR="00657F7F" w:rsidRPr="00AE6B3D">
        <w:rPr>
          <w:rFonts w:asciiTheme="minorHAnsi" w:eastAsiaTheme="minorHAnsi" w:hAnsiTheme="minorHAnsi" w:cstheme="minorBidi"/>
          <w:b/>
          <w:iCs/>
          <w:color w:val="1F4E79" w:themeColor="accent1" w:themeShade="80"/>
          <w:sz w:val="32"/>
          <w:szCs w:val="36"/>
        </w:rPr>
        <w:t xml:space="preserve">onvert to </w:t>
      </w:r>
      <w:r w:rsidRPr="00AE6B3D">
        <w:rPr>
          <w:rFonts w:asciiTheme="minorHAnsi" w:eastAsiaTheme="minorHAnsi" w:hAnsiTheme="minorHAnsi" w:cstheme="minorBidi"/>
          <w:b/>
          <w:iCs/>
          <w:color w:val="1F4E79" w:themeColor="accent1" w:themeShade="80"/>
          <w:sz w:val="32"/>
          <w:szCs w:val="36"/>
        </w:rPr>
        <w:t xml:space="preserve">a </w:t>
      </w:r>
      <w:r w:rsidR="00657F7F" w:rsidRPr="00AE6B3D">
        <w:rPr>
          <w:rFonts w:asciiTheme="minorHAnsi" w:eastAsiaTheme="minorHAnsi" w:hAnsiTheme="minorHAnsi" w:cstheme="minorBidi"/>
          <w:b/>
          <w:iCs/>
          <w:color w:val="1F4E79" w:themeColor="accent1" w:themeShade="80"/>
          <w:sz w:val="32"/>
          <w:szCs w:val="36"/>
        </w:rPr>
        <w:t>Roth IRA?</w:t>
      </w:r>
    </w:p>
    <w:p w:rsidR="00F41955" w:rsidRPr="00DA7EA8" w:rsidRDefault="00CD18A0" w:rsidP="00657F7F">
      <w:pPr>
        <w:pStyle w:val="NormalWeb"/>
        <w:jc w:val="both"/>
        <w:rPr>
          <w:color w:val="0D0D0D" w:themeColor="text1" w:themeTint="F2"/>
          <w:sz w:val="22"/>
          <w:szCs w:val="22"/>
        </w:rPr>
      </w:pPr>
      <w:r>
        <w:rPr>
          <w:noProof/>
          <w:color w:val="0D0D0D" w:themeColor="text1" w:themeTint="F2"/>
          <w:sz w:val="22"/>
          <w:szCs w:val="22"/>
        </w:rPr>
        <w:drawing>
          <wp:anchor distT="0" distB="0" distL="114300" distR="114300" simplePos="0" relativeHeight="251687424" behindDoc="0" locked="0" layoutInCell="1" allowOverlap="1" wp14:anchorId="3038AA34" wp14:editId="08E6550D">
            <wp:simplePos x="0" y="0"/>
            <wp:positionH relativeFrom="column">
              <wp:posOffset>-47625</wp:posOffset>
            </wp:positionH>
            <wp:positionV relativeFrom="paragraph">
              <wp:posOffset>759460</wp:posOffset>
            </wp:positionV>
            <wp:extent cx="3289300" cy="1924050"/>
            <wp:effectExtent l="19050" t="19050" r="2540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9300" cy="1924050"/>
                    </a:xfrm>
                    <a:prstGeom prst="rect">
                      <a:avLst/>
                    </a:prstGeom>
                    <a:noFill/>
                    <a:ln w="127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657F7F" w:rsidRPr="00DA7EA8">
        <w:rPr>
          <w:color w:val="0D0D0D" w:themeColor="text1" w:themeTint="F2"/>
          <w:sz w:val="22"/>
          <w:szCs w:val="22"/>
        </w:rPr>
        <w:t xml:space="preserve">Tax-savvy investors want to pay as little income tax as possible. Converting to a Roth IRA </w:t>
      </w:r>
      <w:r w:rsidR="006C1327">
        <w:rPr>
          <w:color w:val="0D0D0D" w:themeColor="text1" w:themeTint="F2"/>
          <w:sz w:val="22"/>
          <w:szCs w:val="22"/>
        </w:rPr>
        <w:t>may</w:t>
      </w:r>
      <w:r w:rsidR="00657F7F" w:rsidRPr="00DA7EA8">
        <w:rPr>
          <w:color w:val="0D0D0D" w:themeColor="text1" w:themeTint="F2"/>
          <w:sz w:val="22"/>
          <w:szCs w:val="22"/>
        </w:rPr>
        <w:t xml:space="preserve"> allow you to make a tax move that will save you or your beneficiaries </w:t>
      </w:r>
      <w:r w:rsidR="00657F7F" w:rsidRPr="00DA7EA8">
        <w:rPr>
          <w:color w:val="0D0D0D" w:themeColor="text1" w:themeTint="F2"/>
          <w:sz w:val="22"/>
          <w:szCs w:val="22"/>
        </w:rPr>
        <w:lastRenderedPageBreak/>
        <w:t>money in the long run.</w:t>
      </w:r>
    </w:p>
    <w:p w:rsidR="00657F7F" w:rsidRPr="00DA7EA8" w:rsidRDefault="00657F7F" w:rsidP="00657F7F">
      <w:pPr>
        <w:pStyle w:val="NormalWeb"/>
        <w:jc w:val="both"/>
        <w:rPr>
          <w:color w:val="0D0D0D" w:themeColor="text1" w:themeTint="F2"/>
          <w:sz w:val="22"/>
          <w:szCs w:val="22"/>
        </w:rPr>
      </w:pPr>
      <w:r w:rsidRPr="00DA7EA8">
        <w:rPr>
          <w:color w:val="0D0D0D" w:themeColor="text1" w:themeTint="F2"/>
          <w:sz w:val="22"/>
          <w:szCs w:val="22"/>
        </w:rPr>
        <w:t>For example, if you anticipate your income dropping significantly in a certain year (and increasing in following years), you could plan a conversion (or partial conversion) for the low-income year. Since your income is lower, you may be in a lower tax bracket when you convert.</w:t>
      </w:r>
    </w:p>
    <w:p w:rsidR="00657F7F" w:rsidRPr="00DA7EA8" w:rsidRDefault="00657F7F" w:rsidP="00657F7F">
      <w:pPr>
        <w:pStyle w:val="NormalWeb"/>
        <w:jc w:val="both"/>
        <w:rPr>
          <w:color w:val="0D0D0D" w:themeColor="text1" w:themeTint="F2"/>
          <w:sz w:val="22"/>
          <w:szCs w:val="22"/>
        </w:rPr>
      </w:pPr>
      <w:r w:rsidRPr="00DA7EA8">
        <w:rPr>
          <w:color w:val="0D0D0D" w:themeColor="text1" w:themeTint="F2"/>
          <w:sz w:val="22"/>
          <w:szCs w:val="22"/>
        </w:rPr>
        <w:t>Similarly, if the government announces a tax-rate increase to go into effect in a future year, a conversion in the current year could possibly save income tax.</w:t>
      </w:r>
    </w:p>
    <w:p w:rsidR="00657F7F" w:rsidRPr="00DA7EA8" w:rsidRDefault="00657F7F" w:rsidP="00657F7F">
      <w:pPr>
        <w:pStyle w:val="NormalWeb"/>
        <w:jc w:val="both"/>
        <w:rPr>
          <w:color w:val="0D0D0D" w:themeColor="text1" w:themeTint="F2"/>
          <w:sz w:val="22"/>
          <w:szCs w:val="22"/>
        </w:rPr>
      </w:pPr>
      <w:r w:rsidRPr="00DA7EA8">
        <w:rPr>
          <w:color w:val="0D0D0D" w:themeColor="text1" w:themeTint="F2"/>
          <w:sz w:val="22"/>
          <w:szCs w:val="22"/>
        </w:rPr>
        <w:t xml:space="preserve">Converting to a Roth IRA </w:t>
      </w:r>
      <w:r w:rsidR="003715C2">
        <w:rPr>
          <w:color w:val="0D0D0D" w:themeColor="text1" w:themeTint="F2"/>
          <w:sz w:val="22"/>
          <w:szCs w:val="22"/>
        </w:rPr>
        <w:t>could</w:t>
      </w:r>
      <w:r w:rsidRPr="00DA7EA8">
        <w:rPr>
          <w:color w:val="0D0D0D" w:themeColor="text1" w:themeTint="F2"/>
          <w:sz w:val="22"/>
          <w:szCs w:val="22"/>
        </w:rPr>
        <w:t xml:space="preserve"> assure that you will owe no additional income tax on the converted funds—and any money those funds will </w:t>
      </w:r>
      <w:r w:rsidR="003715C2">
        <w:rPr>
          <w:color w:val="0D0D0D" w:themeColor="text1" w:themeTint="F2"/>
          <w:sz w:val="22"/>
          <w:szCs w:val="22"/>
        </w:rPr>
        <w:t xml:space="preserve">potentially </w:t>
      </w:r>
      <w:r w:rsidRPr="00DA7EA8">
        <w:rPr>
          <w:color w:val="0D0D0D" w:themeColor="text1" w:themeTint="F2"/>
          <w:sz w:val="22"/>
          <w:szCs w:val="22"/>
        </w:rPr>
        <w:t>earn before you withdraw them—during retirement. The balance in your po</w:t>
      </w:r>
      <w:r w:rsidR="0067435D">
        <w:rPr>
          <w:color w:val="0D0D0D" w:themeColor="text1" w:themeTint="F2"/>
          <w:sz w:val="22"/>
          <w:szCs w:val="22"/>
        </w:rPr>
        <w:t xml:space="preserve">rtfolio </w:t>
      </w:r>
      <w:r w:rsidR="003715C2">
        <w:rPr>
          <w:color w:val="0D0D0D" w:themeColor="text1" w:themeTint="F2"/>
          <w:sz w:val="22"/>
          <w:szCs w:val="22"/>
        </w:rPr>
        <w:t xml:space="preserve">likely </w:t>
      </w:r>
      <w:r w:rsidR="0067435D">
        <w:rPr>
          <w:color w:val="0D0D0D" w:themeColor="text1" w:themeTint="F2"/>
          <w:sz w:val="22"/>
          <w:szCs w:val="22"/>
        </w:rPr>
        <w:t>will be what you can take out and use</w:t>
      </w:r>
      <w:r w:rsidRPr="00DA7EA8">
        <w:rPr>
          <w:color w:val="0D0D0D" w:themeColor="text1" w:themeTint="F2"/>
          <w:sz w:val="22"/>
          <w:szCs w:val="22"/>
        </w:rPr>
        <w:t xml:space="preserve"> in retirement and you </w:t>
      </w:r>
      <w:r w:rsidR="003715C2">
        <w:rPr>
          <w:color w:val="0D0D0D" w:themeColor="text1" w:themeTint="F2"/>
          <w:sz w:val="22"/>
          <w:szCs w:val="22"/>
        </w:rPr>
        <w:t xml:space="preserve">most likely </w:t>
      </w:r>
      <w:r w:rsidRPr="00DA7EA8">
        <w:rPr>
          <w:color w:val="0D0D0D" w:themeColor="text1" w:themeTint="F2"/>
          <w:sz w:val="22"/>
          <w:szCs w:val="22"/>
        </w:rPr>
        <w:t>won’t have to calculate an after-tax balance.</w:t>
      </w:r>
    </w:p>
    <w:p w:rsidR="00861CB0" w:rsidRPr="00AE6B3D" w:rsidRDefault="00861CB0" w:rsidP="00AE6B3D">
      <w:pPr>
        <w:pStyle w:val="NormalWeb"/>
        <w:shd w:val="clear" w:color="auto" w:fill="D5DCE4" w:themeFill="text2" w:themeFillTint="33"/>
        <w:jc w:val="center"/>
        <w:rPr>
          <w:rFonts w:asciiTheme="minorHAnsi" w:eastAsiaTheme="minorHAnsi" w:hAnsiTheme="minorHAnsi" w:cstheme="minorBidi"/>
          <w:b/>
          <w:iCs/>
          <w:color w:val="1F4E79" w:themeColor="accent1" w:themeShade="80"/>
          <w:sz w:val="32"/>
          <w:szCs w:val="36"/>
        </w:rPr>
      </w:pPr>
      <w:r w:rsidRPr="00AE6B3D">
        <w:rPr>
          <w:rFonts w:asciiTheme="minorHAnsi" w:eastAsiaTheme="minorHAnsi" w:hAnsiTheme="minorHAnsi" w:cstheme="minorBidi"/>
          <w:b/>
          <w:iCs/>
          <w:color w:val="1F4E79" w:themeColor="accent1" w:themeShade="80"/>
          <w:sz w:val="32"/>
          <w:szCs w:val="36"/>
        </w:rPr>
        <w:t xml:space="preserve">Partial Roth IRA </w:t>
      </w:r>
      <w:r w:rsidR="009A121F">
        <w:rPr>
          <w:rFonts w:asciiTheme="minorHAnsi" w:eastAsiaTheme="minorHAnsi" w:hAnsiTheme="minorHAnsi" w:cstheme="minorBidi"/>
          <w:b/>
          <w:iCs/>
          <w:color w:val="1F4E79" w:themeColor="accent1" w:themeShade="80"/>
          <w:sz w:val="32"/>
          <w:szCs w:val="36"/>
        </w:rPr>
        <w:t>C</w:t>
      </w:r>
      <w:r w:rsidRPr="00AE6B3D">
        <w:rPr>
          <w:rFonts w:asciiTheme="minorHAnsi" w:eastAsiaTheme="minorHAnsi" w:hAnsiTheme="minorHAnsi" w:cstheme="minorBidi"/>
          <w:b/>
          <w:iCs/>
          <w:color w:val="1F4E79" w:themeColor="accent1" w:themeShade="80"/>
          <w:sz w:val="32"/>
          <w:szCs w:val="36"/>
        </w:rPr>
        <w:t>onversions</w:t>
      </w:r>
    </w:p>
    <w:p w:rsidR="00F52C3B" w:rsidRDefault="00861CB0" w:rsidP="00F52C3B">
      <w:pPr>
        <w:spacing w:line="240" w:lineRule="auto"/>
        <w:jc w:val="both"/>
        <w:rPr>
          <w:rFonts w:ascii="Times New Roman" w:eastAsia="Times New Roman" w:hAnsi="Times New Roman" w:cs="Times New Roman"/>
          <w:color w:val="0D0D0D" w:themeColor="text1" w:themeTint="F2"/>
          <w:sz w:val="4"/>
          <w:szCs w:val="4"/>
        </w:rPr>
      </w:pPr>
      <w:r w:rsidRPr="00DA7EA8">
        <w:rPr>
          <w:rFonts w:ascii="Times New Roman" w:eastAsia="Times New Roman" w:hAnsi="Times New Roman" w:cs="Times New Roman"/>
          <w:color w:val="0D0D0D" w:themeColor="text1" w:themeTint="F2"/>
        </w:rPr>
        <w:t xml:space="preserve">Making a Roth IRA conversion does not have to be an all or nothing decision. Although the rules surrounding partial conversions can be complex, a competent financial professional can help you understand the tax impacts and rules that govern converting some, all, or none of your existing IRA to a Roth IRA. Like any other decision, all of the variables of your particular situation should be considered. You should consider running the numbers for your situation to best determine the impact of making a full or partial conversion to a Roth IRA. </w:t>
      </w:r>
      <w:r w:rsidR="000B2556">
        <w:rPr>
          <w:rFonts w:ascii="Times New Roman" w:eastAsia="Times New Roman" w:hAnsi="Times New Roman" w:cs="Times New Roman"/>
          <w:color w:val="0D0D0D" w:themeColor="text1" w:themeTint="F2"/>
          <w:sz w:val="4"/>
          <w:szCs w:val="4"/>
        </w:rPr>
        <w:t xml:space="preserve"> </w:t>
      </w:r>
    </w:p>
    <w:p w:rsidR="00005940" w:rsidRPr="00005940" w:rsidRDefault="001D1B28" w:rsidP="00F52C3B">
      <w:pPr>
        <w:spacing w:line="240" w:lineRule="auto"/>
        <w:jc w:val="both"/>
        <w:rPr>
          <w:rFonts w:ascii="Times New Roman" w:eastAsia="Times New Roman" w:hAnsi="Times New Roman" w:cs="Times New Roman"/>
          <w:color w:val="0D0D0D" w:themeColor="text1" w:themeTint="F2"/>
        </w:rPr>
      </w:pPr>
      <w:r>
        <w:rPr>
          <w:noProof/>
          <w:color w:val="0D0D0D" w:themeColor="text1" w:themeTint="F2"/>
        </w:rPr>
        <w:drawing>
          <wp:anchor distT="91440" distB="91440" distL="114300" distR="114300" simplePos="0" relativeHeight="251684352" behindDoc="0" locked="0" layoutInCell="1" allowOverlap="1" wp14:anchorId="07598421" wp14:editId="102EA681">
            <wp:simplePos x="0" y="0"/>
            <wp:positionH relativeFrom="column">
              <wp:posOffset>3698875</wp:posOffset>
            </wp:positionH>
            <wp:positionV relativeFrom="paragraph">
              <wp:posOffset>709094</wp:posOffset>
            </wp:positionV>
            <wp:extent cx="3242141" cy="2276856"/>
            <wp:effectExtent l="19050" t="19050" r="15875" b="285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2141" cy="2276856"/>
                    </a:xfrm>
                    <a:prstGeom prst="rect">
                      <a:avLst/>
                    </a:prstGeom>
                    <a:noFill/>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bookmarkStart w:id="2" w:name="_Hlk515951588"/>
      <w:r w:rsidR="00005940">
        <w:rPr>
          <w:rFonts w:ascii="Times New Roman" w:eastAsia="Times New Roman" w:hAnsi="Times New Roman" w:cs="Times New Roman"/>
          <w:color w:val="0D0D0D" w:themeColor="text1" w:themeTint="F2"/>
        </w:rPr>
        <w:t>For example, suppose you are a married taxpayer filing jointly with $50,000 of taxable income and you have $300,000 in a traditional Roth IRA. Your marginal tax bracket is 12%. However, if your income increases above $77,400 you move into the 22% bracket. You might wish to convert up to $27,400 of your traditional IRA to a Roth IRA. From a taxwise perspective</w:t>
      </w:r>
      <w:r w:rsidR="004C5445">
        <w:rPr>
          <w:rFonts w:ascii="Times New Roman" w:eastAsia="Times New Roman" w:hAnsi="Times New Roman" w:cs="Times New Roman"/>
          <w:color w:val="0D0D0D" w:themeColor="text1" w:themeTint="F2"/>
        </w:rPr>
        <w:t xml:space="preserve"> this could be more attractive than a full conversion</w:t>
      </w:r>
      <w:r w:rsidR="00005940">
        <w:rPr>
          <w:rFonts w:ascii="Times New Roman" w:eastAsia="Times New Roman" w:hAnsi="Times New Roman" w:cs="Times New Roman"/>
          <w:color w:val="0D0D0D" w:themeColor="text1" w:themeTint="F2"/>
        </w:rPr>
        <w:t>,</w:t>
      </w:r>
      <w:r w:rsidR="004C5445">
        <w:rPr>
          <w:rFonts w:ascii="Times New Roman" w:eastAsia="Times New Roman" w:hAnsi="Times New Roman" w:cs="Times New Roman"/>
          <w:color w:val="0D0D0D" w:themeColor="text1" w:themeTint="F2"/>
        </w:rPr>
        <w:t xml:space="preserve"> because</w:t>
      </w:r>
      <w:r w:rsidR="00005940">
        <w:rPr>
          <w:rFonts w:ascii="Times New Roman" w:eastAsia="Times New Roman" w:hAnsi="Times New Roman" w:cs="Times New Roman"/>
          <w:color w:val="0D0D0D" w:themeColor="text1" w:themeTint="F2"/>
        </w:rPr>
        <w:t xml:space="preserve"> if you converted the entire IRA this year, you could pay tax on some of the conversion at rates as high as 32</w:t>
      </w:r>
      <w:bookmarkEnd w:id="2"/>
      <w:r w:rsidR="00005940">
        <w:rPr>
          <w:rFonts w:ascii="Times New Roman" w:eastAsia="Times New Roman" w:hAnsi="Times New Roman" w:cs="Times New Roman"/>
          <w:color w:val="0D0D0D" w:themeColor="text1" w:themeTint="F2"/>
        </w:rPr>
        <w:t>%.</w:t>
      </w:r>
    </w:p>
    <w:p w:rsidR="000B2556" w:rsidRPr="000B2556" w:rsidRDefault="000B2556" w:rsidP="00F52C3B">
      <w:pPr>
        <w:spacing w:line="240" w:lineRule="auto"/>
        <w:jc w:val="both"/>
        <w:rPr>
          <w:rFonts w:ascii="Times New Roman" w:eastAsia="Times New Roman" w:hAnsi="Times New Roman" w:cs="Times New Roman"/>
          <w:color w:val="0D0D0D" w:themeColor="text1" w:themeTint="F2"/>
          <w:sz w:val="4"/>
          <w:szCs w:val="4"/>
        </w:rPr>
      </w:pPr>
    </w:p>
    <w:p w:rsidR="00F52C3B" w:rsidRPr="00AE6B3D" w:rsidRDefault="00F52C3B" w:rsidP="00AE6B3D">
      <w:pPr>
        <w:pStyle w:val="NormalWeb"/>
        <w:shd w:val="clear" w:color="auto" w:fill="D5DCE4" w:themeFill="text2" w:themeFillTint="33"/>
        <w:spacing w:after="0" w:afterAutospacing="0"/>
        <w:jc w:val="center"/>
        <w:rPr>
          <w:rFonts w:asciiTheme="minorHAnsi" w:eastAsiaTheme="minorHAnsi" w:hAnsiTheme="minorHAnsi" w:cstheme="minorBidi"/>
          <w:b/>
          <w:iCs/>
          <w:color w:val="1F4E79" w:themeColor="accent1" w:themeShade="80"/>
          <w:sz w:val="32"/>
          <w:szCs w:val="36"/>
        </w:rPr>
      </w:pPr>
      <w:r w:rsidRPr="00AE6B3D">
        <w:rPr>
          <w:rFonts w:asciiTheme="minorHAnsi" w:eastAsiaTheme="minorHAnsi" w:hAnsiTheme="minorHAnsi" w:cstheme="minorBidi"/>
          <w:b/>
          <w:iCs/>
          <w:color w:val="1F4E79" w:themeColor="accent1" w:themeShade="80"/>
          <w:sz w:val="32"/>
          <w:szCs w:val="36"/>
        </w:rPr>
        <w:t xml:space="preserve">Roth </w:t>
      </w:r>
      <w:r w:rsidR="009A121F">
        <w:rPr>
          <w:rFonts w:asciiTheme="minorHAnsi" w:eastAsiaTheme="minorHAnsi" w:hAnsiTheme="minorHAnsi" w:cstheme="minorBidi"/>
          <w:b/>
          <w:iCs/>
          <w:color w:val="1F4E79" w:themeColor="accent1" w:themeShade="80"/>
          <w:sz w:val="32"/>
          <w:szCs w:val="36"/>
        </w:rPr>
        <w:t>C</w:t>
      </w:r>
      <w:r w:rsidRPr="00AE6B3D">
        <w:rPr>
          <w:rFonts w:asciiTheme="minorHAnsi" w:eastAsiaTheme="minorHAnsi" w:hAnsiTheme="minorHAnsi" w:cstheme="minorBidi"/>
          <w:b/>
          <w:iCs/>
          <w:color w:val="1F4E79" w:themeColor="accent1" w:themeShade="80"/>
          <w:sz w:val="32"/>
          <w:szCs w:val="36"/>
        </w:rPr>
        <w:t xml:space="preserve">onversions in </w:t>
      </w:r>
      <w:r w:rsidR="009A121F">
        <w:rPr>
          <w:rFonts w:asciiTheme="minorHAnsi" w:eastAsiaTheme="minorHAnsi" w:hAnsiTheme="minorHAnsi" w:cstheme="minorBidi"/>
          <w:b/>
          <w:iCs/>
          <w:color w:val="1F4E79" w:themeColor="accent1" w:themeShade="80"/>
          <w:sz w:val="32"/>
          <w:szCs w:val="36"/>
        </w:rPr>
        <w:t>L</w:t>
      </w:r>
      <w:r w:rsidRPr="00AE6B3D">
        <w:rPr>
          <w:rFonts w:asciiTheme="minorHAnsi" w:eastAsiaTheme="minorHAnsi" w:hAnsiTheme="minorHAnsi" w:cstheme="minorBidi"/>
          <w:b/>
          <w:iCs/>
          <w:color w:val="1F4E79" w:themeColor="accent1" w:themeShade="80"/>
          <w:sz w:val="32"/>
          <w:szCs w:val="36"/>
        </w:rPr>
        <w:t xml:space="preserve">ow </w:t>
      </w:r>
      <w:r w:rsidR="009A121F">
        <w:rPr>
          <w:rFonts w:asciiTheme="minorHAnsi" w:eastAsiaTheme="minorHAnsi" w:hAnsiTheme="minorHAnsi" w:cstheme="minorBidi"/>
          <w:b/>
          <w:iCs/>
          <w:color w:val="1F4E79" w:themeColor="accent1" w:themeShade="80"/>
          <w:sz w:val="32"/>
          <w:szCs w:val="36"/>
        </w:rPr>
        <w:t>T</w:t>
      </w:r>
      <w:r w:rsidRPr="00AE6B3D">
        <w:rPr>
          <w:rFonts w:asciiTheme="minorHAnsi" w:eastAsiaTheme="minorHAnsi" w:hAnsiTheme="minorHAnsi" w:cstheme="minorBidi"/>
          <w:b/>
          <w:iCs/>
          <w:color w:val="1F4E79" w:themeColor="accent1" w:themeShade="80"/>
          <w:sz w:val="32"/>
          <w:szCs w:val="36"/>
        </w:rPr>
        <w:t xml:space="preserve">ax </w:t>
      </w:r>
      <w:r w:rsidR="009A121F">
        <w:rPr>
          <w:rFonts w:asciiTheme="minorHAnsi" w:eastAsiaTheme="minorHAnsi" w:hAnsiTheme="minorHAnsi" w:cstheme="minorBidi"/>
          <w:b/>
          <w:iCs/>
          <w:color w:val="1F4E79" w:themeColor="accent1" w:themeShade="80"/>
          <w:sz w:val="32"/>
          <w:szCs w:val="36"/>
        </w:rPr>
        <w:t>Y</w:t>
      </w:r>
      <w:r w:rsidRPr="00AE6B3D">
        <w:rPr>
          <w:rFonts w:asciiTheme="minorHAnsi" w:eastAsiaTheme="minorHAnsi" w:hAnsiTheme="minorHAnsi" w:cstheme="minorBidi"/>
          <w:b/>
          <w:iCs/>
          <w:color w:val="1F4E79" w:themeColor="accent1" w:themeShade="80"/>
          <w:sz w:val="32"/>
          <w:szCs w:val="36"/>
        </w:rPr>
        <w:t xml:space="preserve">ears </w:t>
      </w:r>
      <w:r w:rsidR="00DA7EA8" w:rsidRPr="00AE6B3D">
        <w:rPr>
          <w:rFonts w:asciiTheme="minorHAnsi" w:eastAsiaTheme="minorHAnsi" w:hAnsiTheme="minorHAnsi" w:cstheme="minorBidi"/>
          <w:b/>
          <w:iCs/>
          <w:color w:val="1F4E79" w:themeColor="accent1" w:themeShade="80"/>
          <w:sz w:val="32"/>
          <w:szCs w:val="36"/>
        </w:rPr>
        <w:br/>
      </w:r>
      <w:r w:rsidR="001032BE">
        <w:rPr>
          <w:rFonts w:asciiTheme="minorHAnsi" w:eastAsiaTheme="minorHAnsi" w:hAnsiTheme="minorHAnsi" w:cstheme="minorBidi"/>
          <w:b/>
          <w:iCs/>
          <w:color w:val="1F4E79" w:themeColor="accent1" w:themeShade="80"/>
          <w:sz w:val="32"/>
          <w:szCs w:val="36"/>
        </w:rPr>
        <w:t>Could</w:t>
      </w:r>
      <w:r w:rsidRPr="00AE6B3D">
        <w:rPr>
          <w:rFonts w:asciiTheme="minorHAnsi" w:eastAsiaTheme="minorHAnsi" w:hAnsiTheme="minorHAnsi" w:cstheme="minorBidi"/>
          <w:b/>
          <w:iCs/>
          <w:color w:val="1F4E79" w:themeColor="accent1" w:themeShade="80"/>
          <w:sz w:val="32"/>
          <w:szCs w:val="36"/>
        </w:rPr>
        <w:t xml:space="preserve"> </w:t>
      </w:r>
      <w:r w:rsidR="009A121F">
        <w:rPr>
          <w:rFonts w:asciiTheme="minorHAnsi" w:eastAsiaTheme="minorHAnsi" w:hAnsiTheme="minorHAnsi" w:cstheme="minorBidi"/>
          <w:b/>
          <w:iCs/>
          <w:color w:val="1F4E79" w:themeColor="accent1" w:themeShade="80"/>
          <w:sz w:val="32"/>
          <w:szCs w:val="36"/>
        </w:rPr>
        <w:t>B</w:t>
      </w:r>
      <w:r w:rsidRPr="00AE6B3D">
        <w:rPr>
          <w:rFonts w:asciiTheme="minorHAnsi" w:eastAsiaTheme="minorHAnsi" w:hAnsiTheme="minorHAnsi" w:cstheme="minorBidi"/>
          <w:b/>
          <w:iCs/>
          <w:color w:val="1F4E79" w:themeColor="accent1" w:themeShade="80"/>
          <w:sz w:val="32"/>
          <w:szCs w:val="36"/>
        </w:rPr>
        <w:t xml:space="preserve">e </w:t>
      </w:r>
      <w:r w:rsidR="009A121F">
        <w:rPr>
          <w:rFonts w:asciiTheme="minorHAnsi" w:eastAsiaTheme="minorHAnsi" w:hAnsiTheme="minorHAnsi" w:cstheme="minorBidi"/>
          <w:b/>
          <w:iCs/>
          <w:color w:val="1F4E79" w:themeColor="accent1" w:themeShade="80"/>
          <w:sz w:val="32"/>
          <w:szCs w:val="36"/>
        </w:rPr>
        <w:t>A</w:t>
      </w:r>
      <w:r w:rsidRPr="00AE6B3D">
        <w:rPr>
          <w:rFonts w:asciiTheme="minorHAnsi" w:eastAsiaTheme="minorHAnsi" w:hAnsiTheme="minorHAnsi" w:cstheme="minorBidi"/>
          <w:b/>
          <w:iCs/>
          <w:color w:val="1F4E79" w:themeColor="accent1" w:themeShade="80"/>
          <w:sz w:val="32"/>
          <w:szCs w:val="36"/>
        </w:rPr>
        <w:t xml:space="preserve">ttractive </w:t>
      </w:r>
    </w:p>
    <w:p w:rsidR="00DA7EA8" w:rsidRDefault="00DA7EA8" w:rsidP="00F52C3B">
      <w:pPr>
        <w:shd w:val="clear" w:color="auto" w:fill="FFFFFF"/>
        <w:spacing w:after="0" w:line="240" w:lineRule="auto"/>
        <w:jc w:val="both"/>
        <w:rPr>
          <w:rFonts w:ascii="Times New Roman" w:eastAsia="Times New Roman" w:hAnsi="Times New Roman" w:cs="Times New Roman"/>
          <w:color w:val="0D0D0D" w:themeColor="text1" w:themeTint="F2"/>
        </w:rPr>
      </w:pPr>
    </w:p>
    <w:p w:rsidR="00340F84" w:rsidRPr="000015F5" w:rsidRDefault="00340F84" w:rsidP="00340F84">
      <w:pPr>
        <w:shd w:val="clear" w:color="auto" w:fill="FFFFFF"/>
        <w:spacing w:after="0" w:line="240" w:lineRule="auto"/>
        <w:jc w:val="both"/>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 xml:space="preserve">A </w:t>
      </w:r>
      <w:r w:rsidR="00EE0755">
        <w:rPr>
          <w:rFonts w:ascii="Times New Roman" w:eastAsia="Times New Roman" w:hAnsi="Times New Roman" w:cs="Times New Roman"/>
          <w:color w:val="0D0D0D" w:themeColor="text1" w:themeTint="F2"/>
        </w:rPr>
        <w:t xml:space="preserve">good </w:t>
      </w:r>
      <w:r w:rsidR="0067435D">
        <w:rPr>
          <w:rFonts w:ascii="Times New Roman" w:eastAsia="Times New Roman" w:hAnsi="Times New Roman" w:cs="Times New Roman"/>
          <w:color w:val="0D0D0D" w:themeColor="text1" w:themeTint="F2"/>
        </w:rPr>
        <w:t>time to explore a partial Roth c</w:t>
      </w:r>
      <w:r w:rsidRPr="00DA7EA8">
        <w:rPr>
          <w:rFonts w:ascii="Times New Roman" w:eastAsia="Times New Roman" w:hAnsi="Times New Roman" w:cs="Times New Roman"/>
          <w:color w:val="0D0D0D" w:themeColor="text1" w:themeTint="F2"/>
        </w:rPr>
        <w:t>onversion can be during a year when you have a lower income than you expect to have in the future. This could include</w:t>
      </w:r>
      <w:r w:rsidRPr="000015F5">
        <w:rPr>
          <w:rFonts w:ascii="Times New Roman" w:eastAsia="Times New Roman" w:hAnsi="Times New Roman" w:cs="Times New Roman"/>
          <w:color w:val="0D0D0D" w:themeColor="text1" w:themeTint="F2"/>
        </w:rPr>
        <w:t xml:space="preserve"> someone who just retired, </w:t>
      </w:r>
      <w:r w:rsidR="001032BE">
        <w:rPr>
          <w:rFonts w:ascii="Times New Roman" w:eastAsia="Times New Roman" w:hAnsi="Times New Roman" w:cs="Times New Roman"/>
          <w:color w:val="0D0D0D" w:themeColor="text1" w:themeTint="F2"/>
        </w:rPr>
        <w:t>is no longer employed</w:t>
      </w:r>
      <w:r w:rsidRPr="000015F5">
        <w:rPr>
          <w:rFonts w:ascii="Times New Roman" w:eastAsia="Times New Roman" w:hAnsi="Times New Roman" w:cs="Times New Roman"/>
          <w:color w:val="0D0D0D" w:themeColor="text1" w:themeTint="F2"/>
        </w:rPr>
        <w:t>, or has made large</w:t>
      </w:r>
      <w:r w:rsidRPr="00DA7EA8">
        <w:rPr>
          <w:rFonts w:ascii="Times New Roman" w:eastAsia="Times New Roman" w:hAnsi="Times New Roman" w:cs="Times New Roman"/>
          <w:color w:val="0D0D0D" w:themeColor="text1" w:themeTint="F2"/>
        </w:rPr>
        <w:t xml:space="preserve"> deductible</w:t>
      </w:r>
      <w:r w:rsidRPr="000015F5">
        <w:rPr>
          <w:rFonts w:ascii="Times New Roman" w:eastAsia="Times New Roman" w:hAnsi="Times New Roman" w:cs="Times New Roman"/>
          <w:color w:val="0D0D0D" w:themeColor="text1" w:themeTint="F2"/>
        </w:rPr>
        <w:t xml:space="preserve"> charitable gifts.</w:t>
      </w:r>
    </w:p>
    <w:p w:rsidR="00340F84" w:rsidRDefault="00340F84" w:rsidP="00F52C3B">
      <w:pPr>
        <w:shd w:val="clear" w:color="auto" w:fill="FFFFFF"/>
        <w:spacing w:after="0" w:line="240" w:lineRule="auto"/>
        <w:jc w:val="both"/>
        <w:rPr>
          <w:rFonts w:ascii="Times New Roman" w:eastAsia="Times New Roman" w:hAnsi="Times New Roman" w:cs="Times New Roman"/>
          <w:color w:val="0D0D0D" w:themeColor="text1" w:themeTint="F2"/>
        </w:rPr>
      </w:pPr>
    </w:p>
    <w:p w:rsidR="00F52C3B" w:rsidRPr="000015F5" w:rsidRDefault="00F52C3B" w:rsidP="00F52C3B">
      <w:pPr>
        <w:shd w:val="clear" w:color="auto" w:fill="FFFFFF"/>
        <w:spacing w:after="0" w:line="240" w:lineRule="auto"/>
        <w:jc w:val="both"/>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lastRenderedPageBreak/>
        <w:t xml:space="preserve">Partial Roth conversions </w:t>
      </w:r>
      <w:r w:rsidR="00EE0755">
        <w:rPr>
          <w:rFonts w:ascii="Times New Roman" w:eastAsia="Times New Roman" w:hAnsi="Times New Roman" w:cs="Times New Roman"/>
          <w:color w:val="0D0D0D" w:themeColor="text1" w:themeTint="F2"/>
        </w:rPr>
        <w:t>typically</w:t>
      </w:r>
      <w:r w:rsidRPr="00DA7EA8">
        <w:rPr>
          <w:rFonts w:ascii="Times New Roman" w:eastAsia="Times New Roman" w:hAnsi="Times New Roman" w:cs="Times New Roman"/>
          <w:color w:val="0D0D0D" w:themeColor="text1" w:themeTint="F2"/>
        </w:rPr>
        <w:t xml:space="preserve"> </w:t>
      </w:r>
      <w:r w:rsidRPr="000015F5">
        <w:rPr>
          <w:rFonts w:ascii="Times New Roman" w:eastAsia="Times New Roman" w:hAnsi="Times New Roman" w:cs="Times New Roman"/>
          <w:color w:val="0D0D0D" w:themeColor="text1" w:themeTint="F2"/>
        </w:rPr>
        <w:t xml:space="preserve">make the </w:t>
      </w:r>
      <w:r w:rsidR="00EE0755">
        <w:rPr>
          <w:rFonts w:ascii="Times New Roman" w:eastAsia="Times New Roman" w:hAnsi="Times New Roman" w:cs="Times New Roman"/>
          <w:color w:val="0D0D0D" w:themeColor="text1" w:themeTint="F2"/>
        </w:rPr>
        <w:t>most sense in low income years.  They can be helpful when you are</w:t>
      </w:r>
      <w:r w:rsidRPr="000015F5">
        <w:rPr>
          <w:rFonts w:ascii="Times New Roman" w:eastAsia="Times New Roman" w:hAnsi="Times New Roman" w:cs="Times New Roman"/>
          <w:color w:val="0D0D0D" w:themeColor="text1" w:themeTint="F2"/>
        </w:rPr>
        <w:t xml:space="preserve"> in </w:t>
      </w:r>
      <w:r w:rsidR="00EE0755">
        <w:rPr>
          <w:rFonts w:ascii="Times New Roman" w:eastAsia="Times New Roman" w:hAnsi="Times New Roman" w:cs="Times New Roman"/>
          <w:color w:val="0D0D0D" w:themeColor="text1" w:themeTint="F2"/>
        </w:rPr>
        <w:t>the early years of retirement (</w:t>
      </w:r>
      <w:r w:rsidRPr="000015F5">
        <w:rPr>
          <w:rFonts w:ascii="Times New Roman" w:eastAsia="Times New Roman" w:hAnsi="Times New Roman" w:cs="Times New Roman"/>
          <w:color w:val="0D0D0D" w:themeColor="text1" w:themeTint="F2"/>
        </w:rPr>
        <w:t xml:space="preserve">before RMDs &amp; Social Security begin). In </w:t>
      </w:r>
      <w:r w:rsidRPr="00DA7EA8">
        <w:rPr>
          <w:rFonts w:ascii="Times New Roman" w:eastAsia="Times New Roman" w:hAnsi="Times New Roman" w:cs="Times New Roman"/>
          <w:color w:val="0D0D0D" w:themeColor="text1" w:themeTint="F2"/>
        </w:rPr>
        <w:t>this instance</w:t>
      </w:r>
      <w:r w:rsidR="00EE0755">
        <w:rPr>
          <w:rFonts w:ascii="Times New Roman" w:eastAsia="Times New Roman" w:hAnsi="Times New Roman" w:cs="Times New Roman"/>
          <w:color w:val="0D0D0D" w:themeColor="text1" w:themeTint="F2"/>
        </w:rPr>
        <w:t>,</w:t>
      </w:r>
      <w:r w:rsidRPr="00DA7EA8">
        <w:rPr>
          <w:rFonts w:ascii="Times New Roman" w:eastAsia="Times New Roman" w:hAnsi="Times New Roman" w:cs="Times New Roman"/>
          <w:color w:val="0D0D0D" w:themeColor="text1" w:themeTint="F2"/>
        </w:rPr>
        <w:t xml:space="preserve"> you can </w:t>
      </w:r>
      <w:r w:rsidR="00EE0755">
        <w:rPr>
          <w:rFonts w:ascii="Times New Roman" w:eastAsia="Times New Roman" w:hAnsi="Times New Roman" w:cs="Times New Roman"/>
          <w:color w:val="0D0D0D" w:themeColor="text1" w:themeTint="F2"/>
        </w:rPr>
        <w:t xml:space="preserve">consider </w:t>
      </w:r>
      <w:r w:rsidRPr="00DA7EA8">
        <w:rPr>
          <w:rFonts w:ascii="Times New Roman" w:eastAsia="Times New Roman" w:hAnsi="Times New Roman" w:cs="Times New Roman"/>
          <w:color w:val="0D0D0D" w:themeColor="text1" w:themeTint="F2"/>
        </w:rPr>
        <w:t>convert</w:t>
      </w:r>
      <w:r w:rsidR="00EE0755">
        <w:rPr>
          <w:rFonts w:ascii="Times New Roman" w:eastAsia="Times New Roman" w:hAnsi="Times New Roman" w:cs="Times New Roman"/>
          <w:color w:val="0D0D0D" w:themeColor="text1" w:themeTint="F2"/>
        </w:rPr>
        <w:t>ing</w:t>
      </w:r>
      <w:r w:rsidRPr="00DA7EA8">
        <w:rPr>
          <w:rFonts w:ascii="Times New Roman" w:eastAsia="Times New Roman" w:hAnsi="Times New Roman" w:cs="Times New Roman"/>
          <w:color w:val="0D0D0D" w:themeColor="text1" w:themeTint="F2"/>
        </w:rPr>
        <w:t xml:space="preserve"> some of your IRA assets to a</w:t>
      </w:r>
      <w:r w:rsidRPr="000015F5">
        <w:rPr>
          <w:rFonts w:ascii="Times New Roman" w:eastAsia="Times New Roman" w:hAnsi="Times New Roman" w:cs="Times New Roman"/>
          <w:color w:val="0D0D0D" w:themeColor="text1" w:themeTint="F2"/>
        </w:rPr>
        <w:t xml:space="preserve"> Roth </w:t>
      </w:r>
      <w:r w:rsidRPr="00DA7EA8">
        <w:rPr>
          <w:rFonts w:ascii="Times New Roman" w:eastAsia="Times New Roman" w:hAnsi="Times New Roman" w:cs="Times New Roman"/>
          <w:color w:val="0D0D0D" w:themeColor="text1" w:themeTint="F2"/>
        </w:rPr>
        <w:t>IRA and pay</w:t>
      </w:r>
      <w:r w:rsidR="00EE0755">
        <w:rPr>
          <w:rFonts w:ascii="Times New Roman" w:eastAsia="Times New Roman" w:hAnsi="Times New Roman" w:cs="Times New Roman"/>
          <w:color w:val="0D0D0D" w:themeColor="text1" w:themeTint="F2"/>
        </w:rPr>
        <w:t>ing</w:t>
      </w:r>
      <w:r w:rsidRPr="000015F5">
        <w:rPr>
          <w:rFonts w:ascii="Times New Roman" w:eastAsia="Times New Roman" w:hAnsi="Times New Roman" w:cs="Times New Roman"/>
          <w:color w:val="0D0D0D" w:themeColor="text1" w:themeTint="F2"/>
        </w:rPr>
        <w:t xml:space="preserve"> federal ordinary income taxes</w:t>
      </w:r>
      <w:r w:rsidR="0067435D">
        <w:rPr>
          <w:rFonts w:ascii="Times New Roman" w:eastAsia="Times New Roman" w:hAnsi="Times New Roman" w:cs="Times New Roman"/>
          <w:color w:val="0D0D0D" w:themeColor="text1" w:themeTint="F2"/>
        </w:rPr>
        <w:t xml:space="preserve"> (and state taxes where necessary)</w:t>
      </w:r>
      <w:r w:rsidRPr="000015F5">
        <w:rPr>
          <w:rFonts w:ascii="Times New Roman" w:eastAsia="Times New Roman" w:hAnsi="Times New Roman" w:cs="Times New Roman"/>
          <w:color w:val="0D0D0D" w:themeColor="text1" w:themeTint="F2"/>
        </w:rPr>
        <w:t xml:space="preserve"> on the amount converted.</w:t>
      </w:r>
    </w:p>
    <w:p w:rsidR="00EE0755" w:rsidRPr="000015F5" w:rsidRDefault="00F52C3B" w:rsidP="00EE0755">
      <w:pPr>
        <w:shd w:val="clear" w:color="auto" w:fill="FFFFFF"/>
        <w:spacing w:after="0" w:line="240" w:lineRule="auto"/>
        <w:jc w:val="both"/>
        <w:rPr>
          <w:rFonts w:ascii="Times New Roman" w:eastAsia="Times New Roman" w:hAnsi="Times New Roman" w:cs="Times New Roman"/>
          <w:color w:val="0D0D0D" w:themeColor="text1" w:themeTint="F2"/>
        </w:rPr>
      </w:pPr>
      <w:r w:rsidRPr="000015F5">
        <w:rPr>
          <w:rFonts w:ascii="Times New Roman" w:eastAsia="Times New Roman" w:hAnsi="Times New Roman" w:cs="Times New Roman"/>
          <w:color w:val="0D0D0D" w:themeColor="text1" w:themeTint="F2"/>
        </w:rPr>
        <w:t> </w:t>
      </w:r>
      <w:r w:rsidR="00EE0755" w:rsidRPr="000015F5">
        <w:rPr>
          <w:rFonts w:ascii="Times New Roman" w:eastAsia="Times New Roman" w:hAnsi="Times New Roman" w:cs="Times New Roman"/>
          <w:color w:val="0D0D0D" w:themeColor="text1" w:themeTint="F2"/>
        </w:rPr>
        <w:t> </w:t>
      </w:r>
    </w:p>
    <w:p w:rsidR="00F52C3B" w:rsidRDefault="00EE0755" w:rsidP="00F52C3B">
      <w:pPr>
        <w:shd w:val="clear" w:color="auto" w:fill="FFFFFF"/>
        <w:spacing w:after="0" w:line="240" w:lineRule="auto"/>
        <w:jc w:val="both"/>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If you do not use Roth</w:t>
      </w:r>
      <w:r w:rsidR="0067435D">
        <w:rPr>
          <w:rFonts w:ascii="Times New Roman" w:eastAsia="Times New Roman" w:hAnsi="Times New Roman" w:cs="Times New Roman"/>
          <w:color w:val="0D0D0D" w:themeColor="text1" w:themeTint="F2"/>
        </w:rPr>
        <w:t xml:space="preserve"> IRA</w:t>
      </w:r>
      <w:r w:rsidRPr="00DA7EA8">
        <w:rPr>
          <w:rFonts w:ascii="Times New Roman" w:eastAsia="Times New Roman" w:hAnsi="Times New Roman" w:cs="Times New Roman"/>
          <w:color w:val="0D0D0D" w:themeColor="text1" w:themeTint="F2"/>
        </w:rPr>
        <w:t xml:space="preserve"> conversions </w:t>
      </w:r>
      <w:r>
        <w:rPr>
          <w:rFonts w:ascii="Times New Roman" w:eastAsia="Times New Roman" w:hAnsi="Times New Roman" w:cs="Times New Roman"/>
          <w:color w:val="0D0D0D" w:themeColor="text1" w:themeTint="F2"/>
        </w:rPr>
        <w:t xml:space="preserve">when you are in low tax brackets during </w:t>
      </w:r>
      <w:r w:rsidRPr="000015F5">
        <w:rPr>
          <w:rFonts w:ascii="Times New Roman" w:eastAsia="Times New Roman" w:hAnsi="Times New Roman" w:cs="Times New Roman"/>
          <w:color w:val="0D0D0D" w:themeColor="text1" w:themeTint="F2"/>
        </w:rPr>
        <w:t>low income years, yo</w:t>
      </w:r>
      <w:r w:rsidRPr="00DA7EA8">
        <w:rPr>
          <w:rFonts w:ascii="Times New Roman" w:eastAsia="Times New Roman" w:hAnsi="Times New Roman" w:cs="Times New Roman"/>
          <w:color w:val="0D0D0D" w:themeColor="text1" w:themeTint="F2"/>
        </w:rPr>
        <w:t>u will be forced to take out</w:t>
      </w:r>
      <w:r w:rsidR="0067435D">
        <w:rPr>
          <w:rFonts w:ascii="Times New Roman" w:eastAsia="Times New Roman" w:hAnsi="Times New Roman" w:cs="Times New Roman"/>
          <w:color w:val="0D0D0D" w:themeColor="text1" w:themeTint="F2"/>
        </w:rPr>
        <w:t xml:space="preserve"> minimum required distributions (RMDs) from your</w:t>
      </w:r>
      <w:r w:rsidRPr="000015F5">
        <w:rPr>
          <w:rFonts w:ascii="Times New Roman" w:eastAsia="Times New Roman" w:hAnsi="Times New Roman" w:cs="Times New Roman"/>
          <w:color w:val="0D0D0D" w:themeColor="text1" w:themeTint="F2"/>
        </w:rPr>
        <w:t xml:space="preserve"> </w:t>
      </w:r>
      <w:r>
        <w:rPr>
          <w:rFonts w:ascii="Times New Roman" w:eastAsia="Times New Roman" w:hAnsi="Times New Roman" w:cs="Times New Roman"/>
          <w:color w:val="0D0D0D" w:themeColor="text1" w:themeTint="F2"/>
        </w:rPr>
        <w:t>traditional IRA funds</w:t>
      </w:r>
      <w:r w:rsidRPr="000015F5">
        <w:rPr>
          <w:rFonts w:ascii="Times New Roman" w:eastAsia="Times New Roman" w:hAnsi="Times New Roman" w:cs="Times New Roman"/>
          <w:color w:val="0D0D0D" w:themeColor="text1" w:themeTint="F2"/>
        </w:rPr>
        <w:t xml:space="preserve"> </w:t>
      </w:r>
      <w:r w:rsidRPr="00DA7EA8">
        <w:rPr>
          <w:rFonts w:ascii="Times New Roman" w:eastAsia="Times New Roman" w:hAnsi="Times New Roman" w:cs="Times New Roman"/>
          <w:color w:val="0D0D0D" w:themeColor="text1" w:themeTint="F2"/>
        </w:rPr>
        <w:t xml:space="preserve">at </w:t>
      </w:r>
      <w:r w:rsidR="0067435D">
        <w:rPr>
          <w:rFonts w:ascii="Times New Roman" w:eastAsia="Times New Roman" w:hAnsi="Times New Roman" w:cs="Times New Roman"/>
          <w:color w:val="0D0D0D" w:themeColor="text1" w:themeTint="F2"/>
        </w:rPr>
        <w:t>age 70</w:t>
      </w:r>
      <w:r w:rsidRPr="00DA7EA8">
        <w:rPr>
          <w:rFonts w:ascii="Times New Roman" w:eastAsia="Times New Roman" w:hAnsi="Times New Roman" w:cs="Times New Roman"/>
          <w:color w:val="0D0D0D" w:themeColor="text1" w:themeTint="F2"/>
        </w:rPr>
        <w:t>½</w:t>
      </w:r>
      <w:r>
        <w:rPr>
          <w:rFonts w:ascii="Times New Roman" w:eastAsia="Times New Roman" w:hAnsi="Times New Roman" w:cs="Times New Roman"/>
          <w:color w:val="0D0D0D" w:themeColor="text1" w:themeTint="F2"/>
        </w:rPr>
        <w:t>,</w:t>
      </w:r>
      <w:r w:rsidRPr="00DA7EA8">
        <w:rPr>
          <w:rFonts w:ascii="Times New Roman" w:eastAsia="Times New Roman" w:hAnsi="Times New Roman" w:cs="Times New Roman"/>
          <w:color w:val="0D0D0D" w:themeColor="text1" w:themeTint="F2"/>
        </w:rPr>
        <w:t xml:space="preserve"> </w:t>
      </w:r>
      <w:r w:rsidRPr="000015F5">
        <w:rPr>
          <w:rFonts w:ascii="Times New Roman" w:eastAsia="Times New Roman" w:hAnsi="Times New Roman" w:cs="Times New Roman"/>
          <w:color w:val="0D0D0D" w:themeColor="text1" w:themeTint="F2"/>
        </w:rPr>
        <w:t xml:space="preserve">when </w:t>
      </w:r>
      <w:r w:rsidRPr="00DA7EA8">
        <w:rPr>
          <w:rFonts w:ascii="Times New Roman" w:eastAsia="Times New Roman" w:hAnsi="Times New Roman" w:cs="Times New Roman"/>
          <w:color w:val="0D0D0D" w:themeColor="text1" w:themeTint="F2"/>
        </w:rPr>
        <w:t>you might be</w:t>
      </w:r>
      <w:r w:rsidRPr="000015F5">
        <w:rPr>
          <w:rFonts w:ascii="Times New Roman" w:eastAsia="Times New Roman" w:hAnsi="Times New Roman" w:cs="Times New Roman"/>
          <w:color w:val="0D0D0D" w:themeColor="text1" w:themeTint="F2"/>
        </w:rPr>
        <w:t xml:space="preserve"> in a higher tax bracket, thus increasing the amount of taxes you pay during that time.</w:t>
      </w:r>
      <w:r>
        <w:rPr>
          <w:rFonts w:ascii="Times New Roman" w:eastAsia="Times New Roman" w:hAnsi="Times New Roman" w:cs="Times New Roman"/>
          <w:color w:val="0D0D0D" w:themeColor="text1" w:themeTint="F2"/>
        </w:rPr>
        <w:t xml:space="preserve">  A pre</w:t>
      </w:r>
      <w:r w:rsidR="0007161D">
        <w:rPr>
          <w:rFonts w:ascii="Times New Roman" w:eastAsia="Times New Roman" w:hAnsi="Times New Roman" w:cs="Times New Roman"/>
          <w:color w:val="0D0D0D" w:themeColor="text1" w:themeTint="F2"/>
        </w:rPr>
        <w:t>-</w:t>
      </w:r>
      <w:r>
        <w:rPr>
          <w:rFonts w:ascii="Times New Roman" w:eastAsia="Times New Roman" w:hAnsi="Times New Roman" w:cs="Times New Roman"/>
          <w:color w:val="0D0D0D" w:themeColor="text1" w:themeTint="F2"/>
        </w:rPr>
        <w:t>70</w:t>
      </w:r>
      <w:r w:rsidR="00F52C3B" w:rsidRPr="00DA7EA8">
        <w:rPr>
          <w:rFonts w:ascii="Times New Roman" w:eastAsia="Times New Roman" w:hAnsi="Times New Roman" w:cs="Times New Roman"/>
          <w:color w:val="0D0D0D" w:themeColor="text1" w:themeTint="F2"/>
        </w:rPr>
        <w:t xml:space="preserve">½ year old can </w:t>
      </w:r>
      <w:r w:rsidR="00F52C3B" w:rsidRPr="000015F5">
        <w:rPr>
          <w:rFonts w:ascii="Times New Roman" w:eastAsia="Times New Roman" w:hAnsi="Times New Roman" w:cs="Times New Roman"/>
          <w:color w:val="0D0D0D" w:themeColor="text1" w:themeTint="F2"/>
        </w:rPr>
        <w:t>take ad</w:t>
      </w:r>
      <w:r w:rsidR="00F52C3B" w:rsidRPr="00DA7EA8">
        <w:rPr>
          <w:rFonts w:ascii="Times New Roman" w:eastAsia="Times New Roman" w:hAnsi="Times New Roman" w:cs="Times New Roman"/>
          <w:color w:val="0D0D0D" w:themeColor="text1" w:themeTint="F2"/>
        </w:rPr>
        <w:t xml:space="preserve">vantage of any low tax years if </w:t>
      </w:r>
      <w:r w:rsidR="00F52C3B" w:rsidRPr="000015F5">
        <w:rPr>
          <w:rFonts w:ascii="Times New Roman" w:eastAsia="Times New Roman" w:hAnsi="Times New Roman" w:cs="Times New Roman"/>
          <w:color w:val="0D0D0D" w:themeColor="text1" w:themeTint="F2"/>
        </w:rPr>
        <w:t xml:space="preserve">their marginal tax brackets will likely be increasing </w:t>
      </w:r>
      <w:r w:rsidR="0007161D">
        <w:rPr>
          <w:rFonts w:ascii="Times New Roman" w:eastAsia="Times New Roman" w:hAnsi="Times New Roman" w:cs="Times New Roman"/>
          <w:color w:val="0D0D0D" w:themeColor="text1" w:themeTint="F2"/>
        </w:rPr>
        <w:t>because r</w:t>
      </w:r>
      <w:r w:rsidR="00F52C3B" w:rsidRPr="000015F5">
        <w:rPr>
          <w:rFonts w:ascii="Times New Roman" w:eastAsia="Times New Roman" w:hAnsi="Times New Roman" w:cs="Times New Roman"/>
          <w:color w:val="0D0D0D" w:themeColor="text1" w:themeTint="F2"/>
        </w:rPr>
        <w:t xml:space="preserve">equired </w:t>
      </w:r>
      <w:r w:rsidR="0007161D">
        <w:rPr>
          <w:rFonts w:ascii="Times New Roman" w:eastAsia="Times New Roman" w:hAnsi="Times New Roman" w:cs="Times New Roman"/>
          <w:color w:val="0D0D0D" w:themeColor="text1" w:themeTint="F2"/>
        </w:rPr>
        <w:t>m</w:t>
      </w:r>
      <w:r w:rsidR="00F52C3B" w:rsidRPr="000015F5">
        <w:rPr>
          <w:rFonts w:ascii="Times New Roman" w:eastAsia="Times New Roman" w:hAnsi="Times New Roman" w:cs="Times New Roman"/>
          <w:color w:val="0D0D0D" w:themeColor="text1" w:themeTint="F2"/>
        </w:rPr>
        <w:t xml:space="preserve">inimum </w:t>
      </w:r>
      <w:r w:rsidR="0007161D">
        <w:rPr>
          <w:rFonts w:ascii="Times New Roman" w:eastAsia="Times New Roman" w:hAnsi="Times New Roman" w:cs="Times New Roman"/>
          <w:color w:val="0D0D0D" w:themeColor="text1" w:themeTint="F2"/>
        </w:rPr>
        <w:t>d</w:t>
      </w:r>
      <w:r w:rsidR="00F52C3B" w:rsidRPr="000015F5">
        <w:rPr>
          <w:rFonts w:ascii="Times New Roman" w:eastAsia="Times New Roman" w:hAnsi="Times New Roman" w:cs="Times New Roman"/>
          <w:color w:val="0D0D0D" w:themeColor="text1" w:themeTint="F2"/>
        </w:rPr>
        <w:t xml:space="preserve">istributions (RMDs) and Social Security </w:t>
      </w:r>
      <w:r w:rsidR="00F52C3B" w:rsidRPr="00DA7EA8">
        <w:rPr>
          <w:rFonts w:ascii="Times New Roman" w:eastAsia="Times New Roman" w:hAnsi="Times New Roman" w:cs="Times New Roman"/>
          <w:color w:val="0D0D0D" w:themeColor="text1" w:themeTint="F2"/>
        </w:rPr>
        <w:t>might move</w:t>
      </w:r>
      <w:r w:rsidR="00F52C3B" w:rsidRPr="000015F5">
        <w:rPr>
          <w:rFonts w:ascii="Times New Roman" w:eastAsia="Times New Roman" w:hAnsi="Times New Roman" w:cs="Times New Roman"/>
          <w:color w:val="0D0D0D" w:themeColor="text1" w:themeTint="F2"/>
        </w:rPr>
        <w:t xml:space="preserve"> them to a higher tax bracket in the future.</w:t>
      </w:r>
    </w:p>
    <w:p w:rsidR="001D1B28" w:rsidRPr="000015F5" w:rsidRDefault="001D1B28" w:rsidP="00F52C3B">
      <w:pPr>
        <w:shd w:val="clear" w:color="auto" w:fill="FFFFFF"/>
        <w:spacing w:after="0" w:line="240" w:lineRule="auto"/>
        <w:jc w:val="both"/>
        <w:rPr>
          <w:rFonts w:ascii="Times New Roman" w:eastAsia="Times New Roman" w:hAnsi="Times New Roman" w:cs="Times New Roman"/>
          <w:color w:val="0D0D0D" w:themeColor="text1" w:themeTint="F2"/>
        </w:rPr>
      </w:pPr>
    </w:p>
    <w:p w:rsidR="00F52C3B" w:rsidRPr="000015F5" w:rsidRDefault="00EE0755" w:rsidP="00F52C3B">
      <w:pPr>
        <w:shd w:val="clear" w:color="auto" w:fill="FFFFFF"/>
        <w:spacing w:after="0" w:line="240" w:lineRule="auto"/>
        <w:jc w:val="both"/>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rPr>
        <w:t>As an</w:t>
      </w:r>
      <w:r w:rsidR="00F52C3B" w:rsidRPr="000015F5">
        <w:rPr>
          <w:rFonts w:ascii="Times New Roman" w:eastAsia="Times New Roman" w:hAnsi="Times New Roman" w:cs="Times New Roman"/>
          <w:color w:val="0D0D0D" w:themeColor="text1" w:themeTint="F2"/>
        </w:rPr>
        <w:t xml:space="preserve"> example</w:t>
      </w:r>
      <w:r w:rsidR="00F52C3B" w:rsidRPr="00DA7EA8">
        <w:rPr>
          <w:rFonts w:ascii="Times New Roman" w:eastAsia="Times New Roman" w:hAnsi="Times New Roman" w:cs="Times New Roman"/>
          <w:color w:val="0D0D0D" w:themeColor="text1" w:themeTint="F2"/>
        </w:rPr>
        <w:t xml:space="preserve">, </w:t>
      </w:r>
      <w:r>
        <w:rPr>
          <w:rFonts w:ascii="Times New Roman" w:eastAsia="Times New Roman" w:hAnsi="Times New Roman" w:cs="Times New Roman"/>
          <w:color w:val="0D0D0D" w:themeColor="text1" w:themeTint="F2"/>
        </w:rPr>
        <w:t>let’s look at</w:t>
      </w:r>
      <w:r w:rsidR="0067435D">
        <w:rPr>
          <w:rFonts w:ascii="Times New Roman" w:eastAsia="Times New Roman" w:hAnsi="Times New Roman" w:cs="Times New Roman"/>
          <w:color w:val="0D0D0D" w:themeColor="text1" w:themeTint="F2"/>
        </w:rPr>
        <w:t xml:space="preserve"> a 63</w:t>
      </w:r>
      <w:r w:rsidR="00AC2DA5">
        <w:rPr>
          <w:rFonts w:ascii="Times New Roman" w:eastAsia="Times New Roman" w:hAnsi="Times New Roman" w:cs="Times New Roman"/>
          <w:color w:val="0D0D0D" w:themeColor="text1" w:themeTint="F2"/>
        </w:rPr>
        <w:t>-</w:t>
      </w:r>
      <w:r w:rsidR="00F52C3B" w:rsidRPr="00DA7EA8">
        <w:rPr>
          <w:rFonts w:ascii="Times New Roman" w:eastAsia="Times New Roman" w:hAnsi="Times New Roman" w:cs="Times New Roman"/>
          <w:color w:val="0D0D0D" w:themeColor="text1" w:themeTint="F2"/>
        </w:rPr>
        <w:t>year</w:t>
      </w:r>
      <w:r w:rsidR="00AC2DA5">
        <w:rPr>
          <w:rFonts w:ascii="Times New Roman" w:eastAsia="Times New Roman" w:hAnsi="Times New Roman" w:cs="Times New Roman"/>
          <w:color w:val="0D0D0D" w:themeColor="text1" w:themeTint="F2"/>
        </w:rPr>
        <w:t xml:space="preserve"> </w:t>
      </w:r>
      <w:r w:rsidR="00F52C3B" w:rsidRPr="00DA7EA8">
        <w:rPr>
          <w:rFonts w:ascii="Times New Roman" w:eastAsia="Times New Roman" w:hAnsi="Times New Roman" w:cs="Times New Roman"/>
          <w:color w:val="0D0D0D" w:themeColor="text1" w:themeTint="F2"/>
        </w:rPr>
        <w:t>old in a</w:t>
      </w:r>
      <w:r w:rsidR="00F52C3B" w:rsidRPr="000015F5">
        <w:rPr>
          <w:rFonts w:ascii="Times New Roman" w:eastAsia="Times New Roman" w:hAnsi="Times New Roman" w:cs="Times New Roman"/>
          <w:color w:val="0D0D0D" w:themeColor="text1" w:themeTint="F2"/>
        </w:rPr>
        <w:t xml:space="preserve"> married household who </w:t>
      </w:r>
      <w:r w:rsidR="00F52C3B" w:rsidRPr="00DA7EA8">
        <w:rPr>
          <w:rFonts w:ascii="Times New Roman" w:eastAsia="Times New Roman" w:hAnsi="Times New Roman" w:cs="Times New Roman"/>
          <w:color w:val="0D0D0D" w:themeColor="text1" w:themeTint="F2"/>
        </w:rPr>
        <w:t xml:space="preserve">files a joint tax return and </w:t>
      </w:r>
      <w:r>
        <w:rPr>
          <w:rFonts w:ascii="Times New Roman" w:eastAsia="Times New Roman" w:hAnsi="Times New Roman" w:cs="Times New Roman"/>
          <w:color w:val="0D0D0D" w:themeColor="text1" w:themeTint="F2"/>
        </w:rPr>
        <w:t xml:space="preserve">also has </w:t>
      </w:r>
      <w:r w:rsidR="00F52C3B" w:rsidRPr="000015F5">
        <w:rPr>
          <w:rFonts w:ascii="Times New Roman" w:eastAsia="Times New Roman" w:hAnsi="Times New Roman" w:cs="Times New Roman"/>
          <w:color w:val="0D0D0D" w:themeColor="text1" w:themeTint="F2"/>
        </w:rPr>
        <w:t>a significantly large</w:t>
      </w:r>
      <w:r>
        <w:rPr>
          <w:rFonts w:ascii="Times New Roman" w:eastAsia="Times New Roman" w:hAnsi="Times New Roman" w:cs="Times New Roman"/>
          <w:color w:val="0D0D0D" w:themeColor="text1" w:themeTint="F2"/>
        </w:rPr>
        <w:t xml:space="preserve"> traditional</w:t>
      </w:r>
      <w:r w:rsidR="00F52C3B" w:rsidRPr="000015F5">
        <w:rPr>
          <w:rFonts w:ascii="Times New Roman" w:eastAsia="Times New Roman" w:hAnsi="Times New Roman" w:cs="Times New Roman"/>
          <w:color w:val="0D0D0D" w:themeColor="text1" w:themeTint="F2"/>
        </w:rPr>
        <w:t xml:space="preserve"> IRA. The </w:t>
      </w:r>
      <w:r>
        <w:rPr>
          <w:rFonts w:ascii="Times New Roman" w:eastAsia="Times New Roman" w:hAnsi="Times New Roman" w:cs="Times New Roman"/>
          <w:color w:val="0D0D0D" w:themeColor="text1" w:themeTint="F2"/>
        </w:rPr>
        <w:t xml:space="preserve">traditional </w:t>
      </w:r>
      <w:r w:rsidR="00F52C3B" w:rsidRPr="000015F5">
        <w:rPr>
          <w:rFonts w:ascii="Times New Roman" w:eastAsia="Times New Roman" w:hAnsi="Times New Roman" w:cs="Times New Roman"/>
          <w:color w:val="0D0D0D" w:themeColor="text1" w:themeTint="F2"/>
        </w:rPr>
        <w:t xml:space="preserve">IRA will begin </w:t>
      </w:r>
      <w:r w:rsidR="00F52C3B" w:rsidRPr="00DA7EA8">
        <w:rPr>
          <w:rFonts w:ascii="Times New Roman" w:eastAsia="Times New Roman" w:hAnsi="Times New Roman" w:cs="Times New Roman"/>
          <w:color w:val="0D0D0D" w:themeColor="text1" w:themeTint="F2"/>
        </w:rPr>
        <w:t xml:space="preserve">requiring </w:t>
      </w:r>
      <w:r w:rsidR="00F52C3B" w:rsidRPr="000015F5">
        <w:rPr>
          <w:rFonts w:ascii="Times New Roman" w:eastAsia="Times New Roman" w:hAnsi="Times New Roman" w:cs="Times New Roman"/>
          <w:color w:val="0D0D0D" w:themeColor="text1" w:themeTint="F2"/>
        </w:rPr>
        <w:t>RMDs at age 70</w:t>
      </w:r>
      <w:r w:rsidR="00F52C3B" w:rsidRPr="00DA7EA8">
        <w:rPr>
          <w:rFonts w:ascii="Times New Roman" w:eastAsia="Times New Roman" w:hAnsi="Times New Roman" w:cs="Times New Roman"/>
          <w:color w:val="0D0D0D" w:themeColor="text1" w:themeTint="F2"/>
        </w:rPr>
        <w:t xml:space="preserve">½ and </w:t>
      </w:r>
      <w:r w:rsidR="00F52C3B" w:rsidRPr="000015F5">
        <w:rPr>
          <w:rFonts w:ascii="Times New Roman" w:eastAsia="Times New Roman" w:hAnsi="Times New Roman" w:cs="Times New Roman"/>
          <w:color w:val="0D0D0D" w:themeColor="text1" w:themeTint="F2"/>
        </w:rPr>
        <w:t xml:space="preserve">Social Security payouts must begin by age 70 as well. If </w:t>
      </w:r>
      <w:r w:rsidR="0067435D">
        <w:rPr>
          <w:rFonts w:ascii="Times New Roman" w:eastAsia="Times New Roman" w:hAnsi="Times New Roman" w:cs="Times New Roman"/>
          <w:color w:val="0D0D0D" w:themeColor="text1" w:themeTint="F2"/>
        </w:rPr>
        <w:t>this</w:t>
      </w:r>
      <w:r>
        <w:rPr>
          <w:rFonts w:ascii="Times New Roman" w:eastAsia="Times New Roman" w:hAnsi="Times New Roman" w:cs="Times New Roman"/>
          <w:color w:val="0D0D0D" w:themeColor="text1" w:themeTint="F2"/>
        </w:rPr>
        <w:t xml:space="preserve"> </w:t>
      </w:r>
      <w:r w:rsidR="00F52C3B" w:rsidRPr="000015F5">
        <w:rPr>
          <w:rFonts w:ascii="Times New Roman" w:eastAsia="Times New Roman" w:hAnsi="Times New Roman" w:cs="Times New Roman"/>
          <w:color w:val="0D0D0D" w:themeColor="text1" w:themeTint="F2"/>
        </w:rPr>
        <w:t>household</w:t>
      </w:r>
      <w:r w:rsidR="00AC2DA5">
        <w:rPr>
          <w:rFonts w:ascii="Times New Roman" w:eastAsia="Times New Roman" w:hAnsi="Times New Roman" w:cs="Times New Roman"/>
          <w:color w:val="0D0D0D" w:themeColor="text1" w:themeTint="F2"/>
        </w:rPr>
        <w:t>’s</w:t>
      </w:r>
      <w:r w:rsidR="00F52C3B" w:rsidRPr="000015F5">
        <w:rPr>
          <w:rFonts w:ascii="Times New Roman" w:eastAsia="Times New Roman" w:hAnsi="Times New Roman" w:cs="Times New Roman"/>
          <w:color w:val="0D0D0D" w:themeColor="text1" w:themeTint="F2"/>
        </w:rPr>
        <w:t xml:space="preserve"> </w:t>
      </w:r>
      <w:r w:rsidR="0067435D">
        <w:rPr>
          <w:rFonts w:ascii="Times New Roman" w:eastAsia="Times New Roman" w:hAnsi="Times New Roman" w:cs="Times New Roman"/>
          <w:color w:val="0D0D0D" w:themeColor="text1" w:themeTint="F2"/>
        </w:rPr>
        <w:t xml:space="preserve">only source of income </w:t>
      </w:r>
      <w:r w:rsidR="00AC2DA5">
        <w:rPr>
          <w:rFonts w:ascii="Times New Roman" w:eastAsia="Times New Roman" w:hAnsi="Times New Roman" w:cs="Times New Roman"/>
          <w:color w:val="0D0D0D" w:themeColor="text1" w:themeTint="F2"/>
        </w:rPr>
        <w:t xml:space="preserve">is </w:t>
      </w:r>
      <w:r w:rsidR="0067435D">
        <w:rPr>
          <w:rFonts w:ascii="Times New Roman" w:eastAsia="Times New Roman" w:hAnsi="Times New Roman" w:cs="Times New Roman"/>
          <w:color w:val="0D0D0D" w:themeColor="text1" w:themeTint="F2"/>
        </w:rPr>
        <w:t xml:space="preserve">$100K </w:t>
      </w:r>
      <w:r w:rsidR="00F52C3B" w:rsidRPr="000015F5">
        <w:rPr>
          <w:rFonts w:ascii="Times New Roman" w:eastAsia="Times New Roman" w:hAnsi="Times New Roman" w:cs="Times New Roman"/>
          <w:color w:val="0D0D0D" w:themeColor="text1" w:themeTint="F2"/>
        </w:rPr>
        <w:t>from a pension</w:t>
      </w:r>
      <w:r w:rsidR="0067435D">
        <w:rPr>
          <w:rFonts w:ascii="Times New Roman" w:eastAsia="Times New Roman" w:hAnsi="Times New Roman" w:cs="Times New Roman"/>
          <w:color w:val="0D0D0D" w:themeColor="text1" w:themeTint="F2"/>
        </w:rPr>
        <w:t>,</w:t>
      </w:r>
      <w:r w:rsidR="00F52C3B" w:rsidRPr="000015F5">
        <w:rPr>
          <w:rFonts w:ascii="Times New Roman" w:eastAsia="Times New Roman" w:hAnsi="Times New Roman" w:cs="Times New Roman"/>
          <w:color w:val="0D0D0D" w:themeColor="text1" w:themeTint="F2"/>
        </w:rPr>
        <w:t xml:space="preserve"> </w:t>
      </w:r>
      <w:r w:rsidR="0067435D">
        <w:rPr>
          <w:rFonts w:ascii="Times New Roman" w:eastAsia="Times New Roman" w:hAnsi="Times New Roman" w:cs="Times New Roman"/>
          <w:color w:val="0D0D0D" w:themeColor="text1" w:themeTint="F2"/>
        </w:rPr>
        <w:t>this year</w:t>
      </w:r>
      <w:r w:rsidR="00F52C3B" w:rsidRPr="000015F5">
        <w:rPr>
          <w:rFonts w:ascii="Times New Roman" w:eastAsia="Times New Roman" w:hAnsi="Times New Roman" w:cs="Times New Roman"/>
          <w:color w:val="0D0D0D" w:themeColor="text1" w:themeTint="F2"/>
        </w:rPr>
        <w:t xml:space="preserve">, they </w:t>
      </w:r>
      <w:r w:rsidR="002E6193">
        <w:rPr>
          <w:rFonts w:ascii="Times New Roman" w:eastAsia="Times New Roman" w:hAnsi="Times New Roman" w:cs="Times New Roman"/>
          <w:color w:val="0D0D0D" w:themeColor="text1" w:themeTint="F2"/>
        </w:rPr>
        <w:t>might</w:t>
      </w:r>
      <w:r w:rsidR="00F52C3B" w:rsidRPr="000015F5">
        <w:rPr>
          <w:rFonts w:ascii="Times New Roman" w:eastAsia="Times New Roman" w:hAnsi="Times New Roman" w:cs="Times New Roman"/>
          <w:color w:val="0D0D0D" w:themeColor="text1" w:themeTint="F2"/>
        </w:rPr>
        <w:t xml:space="preserve"> pay a marginal tax rate of 22%.</w:t>
      </w:r>
    </w:p>
    <w:p w:rsidR="00F52C3B" w:rsidRPr="000015F5" w:rsidRDefault="00F52C3B" w:rsidP="00F52C3B">
      <w:pPr>
        <w:shd w:val="clear" w:color="auto" w:fill="FFFFFF"/>
        <w:spacing w:after="0" w:line="240" w:lineRule="auto"/>
        <w:jc w:val="both"/>
        <w:rPr>
          <w:rFonts w:ascii="Times New Roman" w:eastAsia="Times New Roman" w:hAnsi="Times New Roman" w:cs="Times New Roman"/>
          <w:color w:val="0D0D0D" w:themeColor="text1" w:themeTint="F2"/>
        </w:rPr>
      </w:pPr>
      <w:r w:rsidRPr="000015F5">
        <w:rPr>
          <w:rFonts w:ascii="Times New Roman" w:eastAsia="Times New Roman" w:hAnsi="Times New Roman" w:cs="Times New Roman"/>
          <w:color w:val="0D0D0D" w:themeColor="text1" w:themeTint="F2"/>
        </w:rPr>
        <w:t> </w:t>
      </w:r>
    </w:p>
    <w:p w:rsidR="00F52C3B" w:rsidRPr="000015F5" w:rsidRDefault="00F52C3B" w:rsidP="00F52C3B">
      <w:pPr>
        <w:shd w:val="clear" w:color="auto" w:fill="FFFFFF"/>
        <w:spacing w:after="0" w:line="240" w:lineRule="auto"/>
        <w:jc w:val="both"/>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In</w:t>
      </w:r>
      <w:r w:rsidR="00090464">
        <w:rPr>
          <w:rFonts w:ascii="Times New Roman" w:eastAsia="Times New Roman" w:hAnsi="Times New Roman" w:cs="Times New Roman"/>
          <w:color w:val="0D0D0D" w:themeColor="text1" w:themeTint="F2"/>
        </w:rPr>
        <w:t xml:space="preserve"> nine </w:t>
      </w:r>
      <w:r w:rsidRPr="00DA7EA8">
        <w:rPr>
          <w:rFonts w:ascii="Times New Roman" w:eastAsia="Times New Roman" w:hAnsi="Times New Roman" w:cs="Times New Roman"/>
          <w:color w:val="0D0D0D" w:themeColor="text1" w:themeTint="F2"/>
        </w:rPr>
        <w:t xml:space="preserve">years, when the main IRA holder </w:t>
      </w:r>
      <w:r w:rsidR="00EE0755">
        <w:rPr>
          <w:rFonts w:ascii="Times New Roman" w:eastAsia="Times New Roman" w:hAnsi="Times New Roman" w:cs="Times New Roman"/>
          <w:color w:val="0D0D0D" w:themeColor="text1" w:themeTint="F2"/>
        </w:rPr>
        <w:t xml:space="preserve">is now </w:t>
      </w:r>
      <w:r w:rsidR="0067435D">
        <w:rPr>
          <w:rFonts w:ascii="Times New Roman" w:eastAsia="Times New Roman" w:hAnsi="Times New Roman" w:cs="Times New Roman"/>
          <w:color w:val="0D0D0D" w:themeColor="text1" w:themeTint="F2"/>
        </w:rPr>
        <w:t>72</w:t>
      </w:r>
      <w:r w:rsidRPr="000015F5">
        <w:rPr>
          <w:rFonts w:ascii="Times New Roman" w:eastAsia="Times New Roman" w:hAnsi="Times New Roman" w:cs="Times New Roman"/>
          <w:color w:val="0D0D0D" w:themeColor="text1" w:themeTint="F2"/>
        </w:rPr>
        <w:t xml:space="preserve">, the pre-tax IRAs will have had a lot of time to </w:t>
      </w:r>
      <w:r w:rsidRPr="00DA7EA8">
        <w:rPr>
          <w:rFonts w:ascii="Times New Roman" w:eastAsia="Times New Roman" w:hAnsi="Times New Roman" w:cs="Times New Roman"/>
          <w:color w:val="0D0D0D" w:themeColor="text1" w:themeTint="F2"/>
        </w:rPr>
        <w:t xml:space="preserve">potentially </w:t>
      </w:r>
      <w:r w:rsidRPr="000015F5">
        <w:rPr>
          <w:rFonts w:ascii="Times New Roman" w:eastAsia="Times New Roman" w:hAnsi="Times New Roman" w:cs="Times New Roman"/>
          <w:color w:val="0D0D0D" w:themeColor="text1" w:themeTint="F2"/>
        </w:rPr>
        <w:t xml:space="preserve">grow. </w:t>
      </w:r>
      <w:r w:rsidRPr="00DA7EA8">
        <w:rPr>
          <w:rFonts w:ascii="Times New Roman" w:eastAsia="Times New Roman" w:hAnsi="Times New Roman" w:cs="Times New Roman"/>
          <w:color w:val="0D0D0D" w:themeColor="text1" w:themeTint="F2"/>
        </w:rPr>
        <w:t>T</w:t>
      </w:r>
      <w:r w:rsidRPr="000015F5">
        <w:rPr>
          <w:rFonts w:ascii="Times New Roman" w:eastAsia="Times New Roman" w:hAnsi="Times New Roman" w:cs="Times New Roman"/>
          <w:color w:val="0D0D0D" w:themeColor="text1" w:themeTint="F2"/>
        </w:rPr>
        <w:t xml:space="preserve">his household </w:t>
      </w:r>
      <w:r w:rsidRPr="00DA7EA8">
        <w:rPr>
          <w:rFonts w:ascii="Times New Roman" w:eastAsia="Times New Roman" w:hAnsi="Times New Roman" w:cs="Times New Roman"/>
          <w:color w:val="0D0D0D" w:themeColor="text1" w:themeTint="F2"/>
        </w:rPr>
        <w:t xml:space="preserve">could expect </w:t>
      </w:r>
      <w:r w:rsidRPr="000015F5">
        <w:rPr>
          <w:rFonts w:ascii="Times New Roman" w:eastAsia="Times New Roman" w:hAnsi="Times New Roman" w:cs="Times New Roman"/>
          <w:color w:val="0D0D0D" w:themeColor="text1" w:themeTint="F2"/>
        </w:rPr>
        <w:t xml:space="preserve">to have significant required minimum distributions (RMDs) and Social </w:t>
      </w:r>
      <w:r w:rsidRPr="00DA7EA8">
        <w:rPr>
          <w:rFonts w:ascii="Times New Roman" w:eastAsia="Times New Roman" w:hAnsi="Times New Roman" w:cs="Times New Roman"/>
          <w:color w:val="0D0D0D" w:themeColor="text1" w:themeTint="F2"/>
        </w:rPr>
        <w:t xml:space="preserve">Security income on top of the </w:t>
      </w:r>
      <w:r w:rsidRPr="000015F5">
        <w:rPr>
          <w:rFonts w:ascii="Times New Roman" w:eastAsia="Times New Roman" w:hAnsi="Times New Roman" w:cs="Times New Roman"/>
          <w:color w:val="0D0D0D" w:themeColor="text1" w:themeTint="F2"/>
        </w:rPr>
        <w:t xml:space="preserve">$100k pension. </w:t>
      </w:r>
      <w:r w:rsidRPr="00DA7EA8">
        <w:rPr>
          <w:rFonts w:ascii="Times New Roman" w:eastAsia="Times New Roman" w:hAnsi="Times New Roman" w:cs="Times New Roman"/>
          <w:color w:val="0D0D0D" w:themeColor="text1" w:themeTint="F2"/>
        </w:rPr>
        <w:t>If the</w:t>
      </w:r>
      <w:r w:rsidR="0067435D">
        <w:rPr>
          <w:rFonts w:ascii="Times New Roman" w:eastAsia="Times New Roman" w:hAnsi="Times New Roman" w:cs="Times New Roman"/>
          <w:color w:val="0D0D0D" w:themeColor="text1" w:themeTint="F2"/>
        </w:rPr>
        <w:t xml:space="preserve"> RMD’s at age 72</w:t>
      </w:r>
      <w:r w:rsidR="000B2556">
        <w:rPr>
          <w:rFonts w:ascii="Times New Roman" w:eastAsia="Times New Roman" w:hAnsi="Times New Roman" w:cs="Times New Roman"/>
          <w:color w:val="0D0D0D" w:themeColor="text1" w:themeTint="F2"/>
        </w:rPr>
        <w:t xml:space="preserve"> are about $18</w:t>
      </w:r>
      <w:r w:rsidRPr="00DA7EA8">
        <w:rPr>
          <w:rFonts w:ascii="Times New Roman" w:eastAsia="Times New Roman" w:hAnsi="Times New Roman" w:cs="Times New Roman"/>
          <w:color w:val="0D0D0D" w:themeColor="text1" w:themeTint="F2"/>
        </w:rPr>
        <w:t>0</w:t>
      </w:r>
      <w:r w:rsidRPr="000015F5">
        <w:rPr>
          <w:rFonts w:ascii="Times New Roman" w:eastAsia="Times New Roman" w:hAnsi="Times New Roman" w:cs="Times New Roman"/>
          <w:color w:val="0D0D0D" w:themeColor="text1" w:themeTint="F2"/>
        </w:rPr>
        <w:t>,000 and the household Social Security is $60,000</w:t>
      </w:r>
      <w:r w:rsidRPr="00DA7EA8">
        <w:rPr>
          <w:rFonts w:ascii="Times New Roman" w:eastAsia="Times New Roman" w:hAnsi="Times New Roman" w:cs="Times New Roman"/>
          <w:color w:val="0D0D0D" w:themeColor="text1" w:themeTint="F2"/>
        </w:rPr>
        <w:t>, then this</w:t>
      </w:r>
      <w:r w:rsidRPr="000015F5">
        <w:rPr>
          <w:rFonts w:ascii="Times New Roman" w:eastAsia="Times New Roman" w:hAnsi="Times New Roman" w:cs="Times New Roman"/>
          <w:color w:val="0D0D0D" w:themeColor="text1" w:themeTint="F2"/>
        </w:rPr>
        <w:t xml:space="preserve"> household which only had $100,000 of</w:t>
      </w:r>
      <w:r w:rsidRPr="00DA7EA8">
        <w:rPr>
          <w:rFonts w:ascii="Times New Roman" w:eastAsia="Times New Roman" w:hAnsi="Times New Roman" w:cs="Times New Roman"/>
          <w:color w:val="0D0D0D" w:themeColor="text1" w:themeTint="F2"/>
        </w:rPr>
        <w:t xml:space="preserve"> income at age 62</w:t>
      </w:r>
      <w:r w:rsidR="000B2556">
        <w:rPr>
          <w:rFonts w:ascii="Times New Roman" w:eastAsia="Times New Roman" w:hAnsi="Times New Roman" w:cs="Times New Roman"/>
          <w:color w:val="0D0D0D" w:themeColor="text1" w:themeTint="F2"/>
        </w:rPr>
        <w:t xml:space="preserve"> now has $34</w:t>
      </w:r>
      <w:r w:rsidRPr="000015F5">
        <w:rPr>
          <w:rFonts w:ascii="Times New Roman" w:eastAsia="Times New Roman" w:hAnsi="Times New Roman" w:cs="Times New Roman"/>
          <w:color w:val="0D0D0D" w:themeColor="text1" w:themeTint="F2"/>
        </w:rPr>
        <w:t>0,000 of income</w:t>
      </w:r>
      <w:r w:rsidR="00F70B65">
        <w:rPr>
          <w:rFonts w:ascii="Times New Roman" w:eastAsia="Times New Roman" w:hAnsi="Times New Roman" w:cs="Times New Roman"/>
          <w:color w:val="0D0D0D" w:themeColor="text1" w:themeTint="F2"/>
        </w:rPr>
        <w:t>. T</w:t>
      </w:r>
      <w:r w:rsidR="0067435D">
        <w:rPr>
          <w:rFonts w:ascii="Times New Roman" w:eastAsia="Times New Roman" w:hAnsi="Times New Roman" w:cs="Times New Roman"/>
          <w:color w:val="0D0D0D" w:themeColor="text1" w:themeTint="F2"/>
        </w:rPr>
        <w:t xml:space="preserve">his </w:t>
      </w:r>
      <w:r w:rsidR="00DF6C63">
        <w:rPr>
          <w:rFonts w:ascii="Times New Roman" w:eastAsia="Times New Roman" w:hAnsi="Times New Roman" w:cs="Times New Roman"/>
          <w:color w:val="0D0D0D" w:themeColor="text1" w:themeTint="F2"/>
        </w:rPr>
        <w:t xml:space="preserve">could </w:t>
      </w:r>
      <w:r w:rsidR="0067435D">
        <w:rPr>
          <w:rFonts w:ascii="Times New Roman" w:eastAsia="Times New Roman" w:hAnsi="Times New Roman" w:cs="Times New Roman"/>
          <w:color w:val="0D0D0D" w:themeColor="text1" w:themeTint="F2"/>
        </w:rPr>
        <w:t>increase</w:t>
      </w:r>
      <w:r w:rsidRPr="000015F5">
        <w:rPr>
          <w:rFonts w:ascii="Times New Roman" w:eastAsia="Times New Roman" w:hAnsi="Times New Roman" w:cs="Times New Roman"/>
          <w:color w:val="0D0D0D" w:themeColor="text1" w:themeTint="F2"/>
        </w:rPr>
        <w:t xml:space="preserve"> their margi</w:t>
      </w:r>
      <w:r w:rsidR="000B2556">
        <w:rPr>
          <w:rFonts w:ascii="Times New Roman" w:eastAsia="Times New Roman" w:hAnsi="Times New Roman" w:cs="Times New Roman"/>
          <w:color w:val="0D0D0D" w:themeColor="text1" w:themeTint="F2"/>
        </w:rPr>
        <w:t>nal</w:t>
      </w:r>
      <w:r w:rsidR="0067435D">
        <w:rPr>
          <w:rFonts w:ascii="Times New Roman" w:eastAsia="Times New Roman" w:hAnsi="Times New Roman" w:cs="Times New Roman"/>
          <w:color w:val="0D0D0D" w:themeColor="text1" w:themeTint="F2"/>
        </w:rPr>
        <w:t xml:space="preserve"> tax</w:t>
      </w:r>
      <w:r w:rsidR="000B2556">
        <w:rPr>
          <w:rFonts w:ascii="Times New Roman" w:eastAsia="Times New Roman" w:hAnsi="Times New Roman" w:cs="Times New Roman"/>
          <w:color w:val="0D0D0D" w:themeColor="text1" w:themeTint="F2"/>
        </w:rPr>
        <w:t xml:space="preserve"> rate by 10% to a total of 32</w:t>
      </w:r>
      <w:r w:rsidRPr="000015F5">
        <w:rPr>
          <w:rFonts w:ascii="Times New Roman" w:eastAsia="Times New Roman" w:hAnsi="Times New Roman" w:cs="Times New Roman"/>
          <w:color w:val="0D0D0D" w:themeColor="text1" w:themeTint="F2"/>
        </w:rPr>
        <w:t>%.</w:t>
      </w:r>
    </w:p>
    <w:p w:rsidR="00F52C3B" w:rsidRPr="000015F5" w:rsidRDefault="00F52C3B" w:rsidP="00F52C3B">
      <w:pPr>
        <w:shd w:val="clear" w:color="auto" w:fill="FFFFFF"/>
        <w:spacing w:after="0" w:line="240" w:lineRule="auto"/>
        <w:rPr>
          <w:rFonts w:ascii="Gill Sans MT" w:eastAsia="Times New Roman" w:hAnsi="Gill Sans MT" w:cs="Times New Roman"/>
          <w:color w:val="999999"/>
          <w:sz w:val="24"/>
          <w:szCs w:val="24"/>
        </w:rPr>
      </w:pPr>
      <w:r w:rsidRPr="000015F5">
        <w:rPr>
          <w:rFonts w:ascii="Gill Sans MT" w:eastAsia="Times New Roman" w:hAnsi="Gill Sans MT" w:cs="Times New Roman"/>
          <w:color w:val="999999"/>
          <w:sz w:val="24"/>
          <w:szCs w:val="24"/>
        </w:rPr>
        <w:t> </w:t>
      </w:r>
    </w:p>
    <w:p w:rsidR="00F52C3B" w:rsidRPr="000015F5" w:rsidRDefault="00090464" w:rsidP="00090464">
      <w:pPr>
        <w:shd w:val="clear" w:color="auto" w:fill="FFFFFF"/>
        <w:spacing w:after="0" w:line="240" w:lineRule="auto"/>
        <w:jc w:val="both"/>
        <w:rPr>
          <w:rFonts w:ascii="Gill Sans MT" w:eastAsia="Times New Roman" w:hAnsi="Gill Sans MT" w:cs="Times New Roman"/>
          <w:color w:val="999999"/>
          <w:sz w:val="24"/>
          <w:szCs w:val="24"/>
        </w:rPr>
      </w:pPr>
      <w:r w:rsidRPr="000015F5">
        <w:rPr>
          <w:rFonts w:ascii="Times New Roman" w:eastAsia="Times New Roman" w:hAnsi="Times New Roman" w:cs="Times New Roman"/>
          <w:color w:val="0D0D0D" w:themeColor="text1" w:themeTint="F2"/>
        </w:rPr>
        <w:lastRenderedPageBreak/>
        <w:t>On the other hand</w:t>
      </w:r>
      <w:r w:rsidR="00F52C3B" w:rsidRPr="000015F5">
        <w:rPr>
          <w:rFonts w:ascii="Times New Roman" w:eastAsia="Times New Roman" w:hAnsi="Times New Roman" w:cs="Times New Roman"/>
          <w:color w:val="0D0D0D" w:themeColor="text1" w:themeTint="F2"/>
        </w:rPr>
        <w:t>, if this household were to employ a partial Roth Conversion, it would allow them to pull future income forward taking it out at a 22% rate in</w:t>
      </w:r>
      <w:r w:rsidR="000B2556">
        <w:rPr>
          <w:rFonts w:ascii="Times New Roman" w:eastAsia="Times New Roman" w:hAnsi="Times New Roman" w:cs="Times New Roman"/>
          <w:color w:val="0D0D0D" w:themeColor="text1" w:themeTint="F2"/>
        </w:rPr>
        <w:t>stead of a 32</w:t>
      </w:r>
      <w:r w:rsidR="00F52C3B" w:rsidRPr="00DA7EA8">
        <w:rPr>
          <w:rFonts w:ascii="Times New Roman" w:eastAsia="Times New Roman" w:hAnsi="Times New Roman" w:cs="Times New Roman"/>
          <w:color w:val="0D0D0D" w:themeColor="text1" w:themeTint="F2"/>
        </w:rPr>
        <w:t>% marginal rate! By taking an additional $60</w:t>
      </w:r>
      <w:r w:rsidR="00F52C3B" w:rsidRPr="000015F5">
        <w:rPr>
          <w:rFonts w:ascii="Times New Roman" w:eastAsia="Times New Roman" w:hAnsi="Times New Roman" w:cs="Times New Roman"/>
          <w:color w:val="0D0D0D" w:themeColor="text1" w:themeTint="F2"/>
        </w:rPr>
        <w:t xml:space="preserve">,000 of </w:t>
      </w:r>
      <w:r w:rsidR="001D1B28">
        <w:rPr>
          <w:rFonts w:ascii="Times New Roman" w:eastAsia="Times New Roman" w:hAnsi="Times New Roman" w:cs="Times New Roman"/>
          <w:noProof/>
          <w:color w:val="0D0D0D" w:themeColor="text1" w:themeTint="F2"/>
        </w:rPr>
        <w:drawing>
          <wp:anchor distT="91440" distB="91440" distL="114300" distR="114300" simplePos="0" relativeHeight="251686400" behindDoc="0" locked="0" layoutInCell="1" allowOverlap="1" wp14:anchorId="68B66566" wp14:editId="385CDF49">
            <wp:simplePos x="0" y="0"/>
            <wp:positionH relativeFrom="column">
              <wp:posOffset>3649345</wp:posOffset>
            </wp:positionH>
            <wp:positionV relativeFrom="paragraph">
              <wp:posOffset>19518</wp:posOffset>
            </wp:positionV>
            <wp:extent cx="3249295" cy="1748155"/>
            <wp:effectExtent l="19050" t="19050" r="27305" b="2349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9295" cy="1748155"/>
                    </a:xfrm>
                    <a:prstGeom prst="rect">
                      <a:avLst/>
                    </a:prstGeom>
                    <a:noFill/>
                    <a:ln>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F52C3B" w:rsidRPr="000015F5">
        <w:rPr>
          <w:rFonts w:ascii="Times New Roman" w:eastAsia="Times New Roman" w:hAnsi="Times New Roman" w:cs="Times New Roman"/>
          <w:color w:val="0D0D0D" w:themeColor="text1" w:themeTint="F2"/>
        </w:rPr>
        <w:t>income each year for the</w:t>
      </w:r>
      <w:r w:rsidR="00F52C3B" w:rsidRPr="00DA7EA8">
        <w:rPr>
          <w:rFonts w:ascii="Times New Roman" w:eastAsia="Times New Roman" w:hAnsi="Times New Roman" w:cs="Times New Roman"/>
          <w:color w:val="0D0D0D" w:themeColor="text1" w:themeTint="F2"/>
        </w:rPr>
        <w:t xml:space="preserve"> next </w:t>
      </w:r>
      <w:r w:rsidR="00E779C5">
        <w:rPr>
          <w:rFonts w:ascii="Times New Roman" w:eastAsia="Times New Roman" w:hAnsi="Times New Roman" w:cs="Times New Roman"/>
          <w:color w:val="0D0D0D" w:themeColor="text1" w:themeTint="F2"/>
        </w:rPr>
        <w:t>nine</w:t>
      </w:r>
      <w:r w:rsidR="00F52C3B" w:rsidRPr="00DA7EA8">
        <w:rPr>
          <w:rFonts w:ascii="Times New Roman" w:eastAsia="Times New Roman" w:hAnsi="Times New Roman" w:cs="Times New Roman"/>
          <w:color w:val="0D0D0D" w:themeColor="text1" w:themeTint="F2"/>
        </w:rPr>
        <w:t xml:space="preserve"> years, through the</w:t>
      </w:r>
      <w:r w:rsidR="00F52C3B" w:rsidRPr="000015F5">
        <w:rPr>
          <w:rFonts w:ascii="Times New Roman" w:eastAsia="Times New Roman" w:hAnsi="Times New Roman" w:cs="Times New Roman"/>
          <w:color w:val="0D0D0D" w:themeColor="text1" w:themeTint="F2"/>
        </w:rPr>
        <w:t xml:space="preserve"> converting of</w:t>
      </w:r>
      <w:r w:rsidR="00F52C3B" w:rsidRPr="00DA7EA8">
        <w:rPr>
          <w:rFonts w:ascii="Times New Roman" w:eastAsia="Times New Roman" w:hAnsi="Times New Roman" w:cs="Times New Roman"/>
          <w:color w:val="0D0D0D" w:themeColor="text1" w:themeTint="F2"/>
        </w:rPr>
        <w:t xml:space="preserve"> $60,000</w:t>
      </w:r>
      <w:r w:rsidR="00F52C3B" w:rsidRPr="000015F5">
        <w:rPr>
          <w:rFonts w:ascii="Times New Roman" w:eastAsia="Times New Roman" w:hAnsi="Times New Roman" w:cs="Times New Roman"/>
          <w:color w:val="0D0D0D" w:themeColor="text1" w:themeTint="F2"/>
        </w:rPr>
        <w:t xml:space="preserve"> IRA money to Roth IRA money</w:t>
      </w:r>
      <w:r w:rsidR="00F52C3B" w:rsidRPr="00DA7EA8">
        <w:rPr>
          <w:rFonts w:ascii="Times New Roman" w:eastAsia="Times New Roman" w:hAnsi="Times New Roman" w:cs="Times New Roman"/>
          <w:color w:val="0D0D0D" w:themeColor="text1" w:themeTint="F2"/>
        </w:rPr>
        <w:t xml:space="preserve">, </w:t>
      </w:r>
      <w:r w:rsidR="00F52C3B" w:rsidRPr="000015F5">
        <w:rPr>
          <w:rFonts w:ascii="Times New Roman" w:eastAsia="Times New Roman" w:hAnsi="Times New Roman" w:cs="Times New Roman"/>
          <w:color w:val="0D0D0D" w:themeColor="text1" w:themeTint="F2"/>
        </w:rPr>
        <w:t>they will be required to pay taxes</w:t>
      </w:r>
      <w:r w:rsidR="00E779C5">
        <w:rPr>
          <w:rFonts w:ascii="Times New Roman" w:eastAsia="Times New Roman" w:hAnsi="Times New Roman" w:cs="Times New Roman"/>
          <w:color w:val="0D0D0D" w:themeColor="text1" w:themeTint="F2"/>
        </w:rPr>
        <w:t>.</w:t>
      </w:r>
      <w:r w:rsidR="00F52C3B" w:rsidRPr="00DA7EA8">
        <w:rPr>
          <w:rFonts w:ascii="Times New Roman" w:eastAsia="Times New Roman" w:hAnsi="Times New Roman" w:cs="Times New Roman"/>
          <w:color w:val="0D0D0D" w:themeColor="text1" w:themeTint="F2"/>
        </w:rPr>
        <w:t xml:space="preserve"> </w:t>
      </w:r>
      <w:r w:rsidR="00E779C5">
        <w:rPr>
          <w:rFonts w:ascii="Times New Roman" w:eastAsia="Times New Roman" w:hAnsi="Times New Roman" w:cs="Times New Roman"/>
          <w:color w:val="0D0D0D" w:themeColor="text1" w:themeTint="F2"/>
        </w:rPr>
        <w:t>T</w:t>
      </w:r>
      <w:r w:rsidR="00F52C3B" w:rsidRPr="000015F5">
        <w:rPr>
          <w:rFonts w:ascii="Times New Roman" w:eastAsia="Times New Roman" w:hAnsi="Times New Roman" w:cs="Times New Roman"/>
          <w:color w:val="0D0D0D" w:themeColor="text1" w:themeTint="F2"/>
        </w:rPr>
        <w:t xml:space="preserve">hese strategic conversions will </w:t>
      </w:r>
      <w:r w:rsidR="00F52C3B" w:rsidRPr="00DA7EA8">
        <w:rPr>
          <w:rFonts w:ascii="Times New Roman" w:eastAsia="Times New Roman" w:hAnsi="Times New Roman" w:cs="Times New Roman"/>
          <w:color w:val="0D0D0D" w:themeColor="text1" w:themeTint="F2"/>
        </w:rPr>
        <w:t>become</w:t>
      </w:r>
      <w:r w:rsidR="00F52C3B" w:rsidRPr="000015F5">
        <w:rPr>
          <w:rFonts w:ascii="Times New Roman" w:eastAsia="Times New Roman" w:hAnsi="Times New Roman" w:cs="Times New Roman"/>
          <w:color w:val="0D0D0D" w:themeColor="text1" w:themeTint="F2"/>
        </w:rPr>
        <w:t xml:space="preserve"> Roth IRA assets and decrease the size of the</w:t>
      </w:r>
      <w:r w:rsidR="00F52C3B" w:rsidRPr="00DA7EA8">
        <w:rPr>
          <w:rFonts w:ascii="Times New Roman" w:eastAsia="Times New Roman" w:hAnsi="Times New Roman" w:cs="Times New Roman"/>
          <w:color w:val="0D0D0D" w:themeColor="text1" w:themeTint="F2"/>
        </w:rPr>
        <w:t xml:space="preserve"> traditional IRAs. This lowers future RMDs and with all things equal, it could</w:t>
      </w:r>
      <w:r w:rsidR="000B2556">
        <w:rPr>
          <w:rFonts w:ascii="Times New Roman" w:eastAsia="Times New Roman" w:hAnsi="Times New Roman" w:cs="Times New Roman"/>
          <w:color w:val="0D0D0D" w:themeColor="text1" w:themeTint="F2"/>
        </w:rPr>
        <w:t xml:space="preserve"> decrease </w:t>
      </w:r>
      <w:r w:rsidR="00F52C3B" w:rsidRPr="000015F5">
        <w:rPr>
          <w:rFonts w:ascii="Times New Roman" w:eastAsia="Times New Roman" w:hAnsi="Times New Roman" w:cs="Times New Roman"/>
          <w:color w:val="0D0D0D" w:themeColor="text1" w:themeTint="F2"/>
        </w:rPr>
        <w:t>their total future income and shift their future marginal t</w:t>
      </w:r>
      <w:r w:rsidR="000B2556">
        <w:rPr>
          <w:rFonts w:ascii="Times New Roman" w:eastAsia="Times New Roman" w:hAnsi="Times New Roman" w:cs="Times New Roman"/>
          <w:color w:val="0D0D0D" w:themeColor="text1" w:themeTint="F2"/>
        </w:rPr>
        <w:t>ax bracket to a lower rate of 24</w:t>
      </w:r>
      <w:r w:rsidR="00F52C3B" w:rsidRPr="000015F5">
        <w:rPr>
          <w:rFonts w:ascii="Times New Roman" w:eastAsia="Times New Roman" w:hAnsi="Times New Roman" w:cs="Times New Roman"/>
          <w:color w:val="0D0D0D" w:themeColor="text1" w:themeTint="F2"/>
        </w:rPr>
        <w:t>%.</w:t>
      </w:r>
    </w:p>
    <w:p w:rsidR="00090464" w:rsidRDefault="00A87982" w:rsidP="00090464">
      <w:pPr>
        <w:shd w:val="clear" w:color="auto" w:fill="FFFFFF"/>
        <w:spacing w:after="0" w:line="240" w:lineRule="auto"/>
        <w:jc w:val="both"/>
        <w:rPr>
          <w:rFonts w:ascii="Times New Roman" w:eastAsia="Times New Roman" w:hAnsi="Times New Roman" w:cs="Times New Roman"/>
          <w:color w:val="0D0D0D" w:themeColor="text1" w:themeTint="F2"/>
        </w:rPr>
      </w:pPr>
      <w:r>
        <w:rPr>
          <w:rFonts w:ascii="Times New Roman" w:eastAsia="Times New Roman" w:hAnsi="Times New Roman" w:cs="Times New Roman"/>
          <w:noProof/>
          <w:color w:val="0D0D0D" w:themeColor="text1" w:themeTint="F2"/>
        </w:rPr>
        <w:drawing>
          <wp:anchor distT="0" distB="0" distL="114300" distR="114300" simplePos="0" relativeHeight="251688448" behindDoc="0" locked="0" layoutInCell="1" allowOverlap="1" wp14:anchorId="5DEEB634" wp14:editId="29D0DC0F">
            <wp:simplePos x="0" y="0"/>
            <wp:positionH relativeFrom="column">
              <wp:posOffset>7620</wp:posOffset>
            </wp:positionH>
            <wp:positionV relativeFrom="paragraph">
              <wp:posOffset>181610</wp:posOffset>
            </wp:positionV>
            <wp:extent cx="3251835" cy="2004695"/>
            <wp:effectExtent l="19050" t="19050" r="24765" b="146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1835" cy="2004695"/>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p>
    <w:p w:rsidR="00580DFA" w:rsidRDefault="00580DFA" w:rsidP="00090464">
      <w:pPr>
        <w:shd w:val="clear" w:color="auto" w:fill="FFFFFF"/>
        <w:spacing w:after="0" w:line="240" w:lineRule="auto"/>
        <w:jc w:val="both"/>
        <w:rPr>
          <w:rFonts w:ascii="Times New Roman" w:eastAsia="Times New Roman" w:hAnsi="Times New Roman" w:cs="Times New Roman"/>
          <w:color w:val="0D0D0D" w:themeColor="text1" w:themeTint="F2"/>
        </w:rPr>
      </w:pPr>
    </w:p>
    <w:p w:rsidR="00090464" w:rsidRPr="00D556FC" w:rsidRDefault="00090464" w:rsidP="00DA7EA8">
      <w:pPr>
        <w:shd w:val="clear" w:color="auto" w:fill="FFFFFF"/>
        <w:spacing w:after="0" w:line="240" w:lineRule="auto"/>
        <w:jc w:val="both"/>
        <w:rPr>
          <w:rFonts w:ascii="Gill Sans MT" w:eastAsia="Times New Roman" w:hAnsi="Gill Sans MT" w:cs="Times New Roman"/>
          <w:color w:val="999999"/>
          <w:sz w:val="18"/>
          <w:szCs w:val="18"/>
        </w:rPr>
      </w:pPr>
    </w:p>
    <w:p w:rsidR="00DA7EA8" w:rsidRPr="00AE6B3D" w:rsidRDefault="00B85F41" w:rsidP="00AE6B3D">
      <w:pPr>
        <w:pStyle w:val="NormalWeb"/>
        <w:shd w:val="clear" w:color="auto" w:fill="D5DCE4" w:themeFill="text2" w:themeFillTint="33"/>
        <w:spacing w:before="0" w:beforeAutospacing="0"/>
        <w:jc w:val="center"/>
        <w:rPr>
          <w:rFonts w:asciiTheme="minorHAnsi" w:eastAsiaTheme="minorHAnsi" w:hAnsiTheme="minorHAnsi" w:cstheme="minorBidi"/>
          <w:b/>
          <w:iCs/>
          <w:color w:val="1F4E79" w:themeColor="accent1" w:themeShade="80"/>
          <w:sz w:val="32"/>
          <w:szCs w:val="36"/>
        </w:rPr>
      </w:pPr>
      <w:r w:rsidRPr="00AE6B3D">
        <w:rPr>
          <w:rFonts w:asciiTheme="minorHAnsi" w:eastAsiaTheme="minorHAnsi" w:hAnsiTheme="minorHAnsi" w:cstheme="minorBidi"/>
          <w:b/>
          <w:iCs/>
          <w:color w:val="1F4E79" w:themeColor="accent1" w:themeShade="80"/>
          <w:sz w:val="32"/>
          <w:szCs w:val="36"/>
        </w:rPr>
        <w:t xml:space="preserve">Who </w:t>
      </w:r>
      <w:r w:rsidR="009A121F">
        <w:rPr>
          <w:rFonts w:asciiTheme="minorHAnsi" w:eastAsiaTheme="minorHAnsi" w:hAnsiTheme="minorHAnsi" w:cstheme="minorBidi"/>
          <w:b/>
          <w:iCs/>
          <w:color w:val="1F4E79" w:themeColor="accent1" w:themeShade="80"/>
          <w:sz w:val="32"/>
          <w:szCs w:val="36"/>
        </w:rPr>
        <w:t>I</w:t>
      </w:r>
      <w:r w:rsidRPr="00AE6B3D">
        <w:rPr>
          <w:rFonts w:asciiTheme="minorHAnsi" w:eastAsiaTheme="minorHAnsi" w:hAnsiTheme="minorHAnsi" w:cstheme="minorBidi"/>
          <w:b/>
          <w:iCs/>
          <w:color w:val="1F4E79" w:themeColor="accent1" w:themeShade="80"/>
          <w:sz w:val="32"/>
          <w:szCs w:val="36"/>
        </w:rPr>
        <w:t>s</w:t>
      </w:r>
      <w:r w:rsidR="00E31264">
        <w:rPr>
          <w:rFonts w:asciiTheme="minorHAnsi" w:eastAsiaTheme="minorHAnsi" w:hAnsiTheme="minorHAnsi" w:cstheme="minorBidi"/>
          <w:b/>
          <w:iCs/>
          <w:color w:val="1F4E79" w:themeColor="accent1" w:themeShade="80"/>
          <w:sz w:val="32"/>
          <w:szCs w:val="36"/>
        </w:rPr>
        <w:t xml:space="preserve"> i</w:t>
      </w:r>
      <w:r w:rsidRPr="00AE6B3D">
        <w:rPr>
          <w:rFonts w:asciiTheme="minorHAnsi" w:eastAsiaTheme="minorHAnsi" w:hAnsiTheme="minorHAnsi" w:cstheme="minorBidi"/>
          <w:b/>
          <w:iCs/>
          <w:color w:val="1F4E79" w:themeColor="accent1" w:themeShade="80"/>
          <w:sz w:val="32"/>
          <w:szCs w:val="36"/>
        </w:rPr>
        <w:t xml:space="preserve">n </w:t>
      </w:r>
      <w:r w:rsidR="009A121F">
        <w:rPr>
          <w:rFonts w:asciiTheme="minorHAnsi" w:eastAsiaTheme="minorHAnsi" w:hAnsiTheme="minorHAnsi" w:cstheme="minorBidi"/>
          <w:b/>
          <w:iCs/>
          <w:color w:val="1F4E79" w:themeColor="accent1" w:themeShade="80"/>
          <w:sz w:val="32"/>
          <w:szCs w:val="36"/>
        </w:rPr>
        <w:t>a H</w:t>
      </w:r>
      <w:r w:rsidRPr="00AE6B3D">
        <w:rPr>
          <w:rFonts w:asciiTheme="minorHAnsi" w:eastAsiaTheme="minorHAnsi" w:hAnsiTheme="minorHAnsi" w:cstheme="minorBidi"/>
          <w:b/>
          <w:iCs/>
          <w:color w:val="1F4E79" w:themeColor="accent1" w:themeShade="80"/>
          <w:sz w:val="32"/>
          <w:szCs w:val="36"/>
        </w:rPr>
        <w:t>igher</w:t>
      </w:r>
      <w:r w:rsidR="009A121F">
        <w:rPr>
          <w:rFonts w:asciiTheme="minorHAnsi" w:eastAsiaTheme="minorHAnsi" w:hAnsiTheme="minorHAnsi" w:cstheme="minorBidi"/>
          <w:b/>
          <w:iCs/>
          <w:color w:val="1F4E79" w:themeColor="accent1" w:themeShade="80"/>
          <w:sz w:val="32"/>
          <w:szCs w:val="36"/>
        </w:rPr>
        <w:t xml:space="preserve"> Tax</w:t>
      </w:r>
      <w:r w:rsidRPr="00AE6B3D">
        <w:rPr>
          <w:rFonts w:asciiTheme="minorHAnsi" w:eastAsiaTheme="minorHAnsi" w:hAnsiTheme="minorHAnsi" w:cstheme="minorBidi"/>
          <w:b/>
          <w:iCs/>
          <w:color w:val="1F4E79" w:themeColor="accent1" w:themeShade="80"/>
          <w:sz w:val="32"/>
          <w:szCs w:val="36"/>
        </w:rPr>
        <w:t xml:space="preserve"> </w:t>
      </w:r>
      <w:r w:rsidR="009A121F">
        <w:rPr>
          <w:rFonts w:asciiTheme="minorHAnsi" w:eastAsiaTheme="minorHAnsi" w:hAnsiTheme="minorHAnsi" w:cstheme="minorBidi"/>
          <w:b/>
          <w:iCs/>
          <w:color w:val="1F4E79" w:themeColor="accent1" w:themeShade="80"/>
          <w:sz w:val="32"/>
          <w:szCs w:val="36"/>
        </w:rPr>
        <w:t>B</w:t>
      </w:r>
      <w:r w:rsidRPr="00AE6B3D">
        <w:rPr>
          <w:rFonts w:asciiTheme="minorHAnsi" w:eastAsiaTheme="minorHAnsi" w:hAnsiTheme="minorHAnsi" w:cstheme="minorBidi"/>
          <w:b/>
          <w:iCs/>
          <w:color w:val="1F4E79" w:themeColor="accent1" w:themeShade="80"/>
          <w:sz w:val="32"/>
          <w:szCs w:val="36"/>
        </w:rPr>
        <w:t>racket?</w:t>
      </w:r>
    </w:p>
    <w:p w:rsidR="005752AF" w:rsidRPr="00DA7EA8" w:rsidRDefault="005752AF" w:rsidP="00A079E0">
      <w:pPr>
        <w:spacing w:line="240" w:lineRule="auto"/>
        <w:jc w:val="both"/>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 xml:space="preserve">It is generally more advantageous for a decedent to leave assets that do not have an attached income tax liability. </w:t>
      </w:r>
      <w:r w:rsidR="00B85F41" w:rsidRPr="00DA7EA8">
        <w:rPr>
          <w:rFonts w:ascii="Times New Roman" w:eastAsia="Times New Roman" w:hAnsi="Times New Roman" w:cs="Times New Roman"/>
          <w:color w:val="0D0D0D" w:themeColor="text1" w:themeTint="F2"/>
        </w:rPr>
        <w:t xml:space="preserve">Traditional IRAs have embedded tax liabilities.  If you or your living </w:t>
      </w:r>
      <w:r w:rsidR="00861CB0" w:rsidRPr="00DA7EA8">
        <w:rPr>
          <w:rFonts w:ascii="Times New Roman" w:eastAsia="Times New Roman" w:hAnsi="Times New Roman" w:cs="Times New Roman"/>
          <w:color w:val="0D0D0D" w:themeColor="text1" w:themeTint="F2"/>
        </w:rPr>
        <w:t>parents</w:t>
      </w:r>
      <w:r w:rsidR="00B85F41" w:rsidRPr="00DA7EA8">
        <w:rPr>
          <w:rFonts w:ascii="Times New Roman" w:eastAsia="Times New Roman" w:hAnsi="Times New Roman" w:cs="Times New Roman"/>
          <w:color w:val="0D0D0D" w:themeColor="text1" w:themeTint="F2"/>
        </w:rPr>
        <w:t xml:space="preserve"> have assets in a traditional IRA and </w:t>
      </w:r>
      <w:r w:rsidR="00861CB0" w:rsidRPr="00DA7EA8">
        <w:rPr>
          <w:rFonts w:ascii="Times New Roman" w:eastAsia="Times New Roman" w:hAnsi="Times New Roman" w:cs="Times New Roman"/>
          <w:color w:val="0D0D0D" w:themeColor="text1" w:themeTint="F2"/>
        </w:rPr>
        <w:t>are</w:t>
      </w:r>
      <w:r w:rsidR="00B85F41" w:rsidRPr="00DA7EA8">
        <w:rPr>
          <w:rFonts w:ascii="Times New Roman" w:eastAsia="Times New Roman" w:hAnsi="Times New Roman" w:cs="Times New Roman"/>
          <w:color w:val="0D0D0D" w:themeColor="text1" w:themeTint="F2"/>
        </w:rPr>
        <w:t xml:space="preserve"> planning on leaving them someday to a beneficiary who is in a higher tax bracket, then it might be in your best interest tax wise to consider reviewing a schedule for a partial or full Roth IRA conversion</w:t>
      </w:r>
      <w:r w:rsidRPr="00DA7EA8">
        <w:rPr>
          <w:rFonts w:ascii="Times New Roman" w:eastAsia="Times New Roman" w:hAnsi="Times New Roman" w:cs="Times New Roman"/>
          <w:color w:val="0D0D0D" w:themeColor="text1" w:themeTint="F2"/>
        </w:rPr>
        <w:t xml:space="preserve"> </w:t>
      </w:r>
      <w:r w:rsidR="00B85F41" w:rsidRPr="00DA7EA8">
        <w:rPr>
          <w:rFonts w:ascii="Times New Roman" w:eastAsia="Times New Roman" w:hAnsi="Times New Roman" w:cs="Times New Roman"/>
          <w:color w:val="0D0D0D" w:themeColor="text1" w:themeTint="F2"/>
        </w:rPr>
        <w:t>strategy.</w:t>
      </w:r>
    </w:p>
    <w:p w:rsidR="00861CB0" w:rsidRPr="00DA7EA8" w:rsidRDefault="00016F97" w:rsidP="00A079E0">
      <w:pPr>
        <w:spacing w:line="240" w:lineRule="auto"/>
        <w:jc w:val="both"/>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A Roth</w:t>
      </w:r>
      <w:r w:rsidR="0067435D">
        <w:rPr>
          <w:rFonts w:ascii="Times New Roman" w:eastAsia="Times New Roman" w:hAnsi="Times New Roman" w:cs="Times New Roman"/>
          <w:color w:val="0D0D0D" w:themeColor="text1" w:themeTint="F2"/>
        </w:rPr>
        <w:t xml:space="preserve"> IRA</w:t>
      </w:r>
      <w:r w:rsidRPr="00DA7EA8">
        <w:rPr>
          <w:rFonts w:ascii="Times New Roman" w:eastAsia="Times New Roman" w:hAnsi="Times New Roman" w:cs="Times New Roman"/>
          <w:color w:val="0D0D0D" w:themeColor="text1" w:themeTint="F2"/>
        </w:rPr>
        <w:t xml:space="preserve"> conversion essentially changes an asset with an embedded income tax liability to one with no such tax liability. As a result, a Roth </w:t>
      </w:r>
      <w:r w:rsidR="0067435D">
        <w:rPr>
          <w:rFonts w:ascii="Times New Roman" w:eastAsia="Times New Roman" w:hAnsi="Times New Roman" w:cs="Times New Roman"/>
          <w:color w:val="0D0D0D" w:themeColor="text1" w:themeTint="F2"/>
        </w:rPr>
        <w:t xml:space="preserve">IRA </w:t>
      </w:r>
      <w:r w:rsidRPr="00DA7EA8">
        <w:rPr>
          <w:rFonts w:ascii="Times New Roman" w:eastAsia="Times New Roman" w:hAnsi="Times New Roman" w:cs="Times New Roman"/>
          <w:color w:val="0D0D0D" w:themeColor="text1" w:themeTint="F2"/>
        </w:rPr>
        <w:t>conversion may minimize, or even help avoid, the double taxation if there is a taxable estate. Regardless of whether an IRA owner expects to leave a taxable estate, “pre-paying” the income tax may be attractive in several instances</w:t>
      </w:r>
      <w:r w:rsidR="00861CB0" w:rsidRPr="00DA7EA8">
        <w:rPr>
          <w:rFonts w:ascii="Times New Roman" w:eastAsia="Times New Roman" w:hAnsi="Times New Roman" w:cs="Times New Roman"/>
          <w:color w:val="0D0D0D" w:themeColor="text1" w:themeTint="F2"/>
        </w:rPr>
        <w:t>. These can include:</w:t>
      </w:r>
    </w:p>
    <w:p w:rsidR="00861CB0" w:rsidRPr="00DA7EA8" w:rsidRDefault="00861CB0" w:rsidP="00861CB0">
      <w:pPr>
        <w:pStyle w:val="ListParagraph"/>
        <w:numPr>
          <w:ilvl w:val="0"/>
          <w:numId w:val="13"/>
        </w:numPr>
        <w:spacing w:line="240" w:lineRule="auto"/>
        <w:jc w:val="both"/>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When the IRA owner’s income tax bracket is lower than, or the same as the beneficiar</w:t>
      </w:r>
      <w:r w:rsidR="008D7060">
        <w:rPr>
          <w:rFonts w:ascii="Times New Roman" w:eastAsia="Times New Roman" w:hAnsi="Times New Roman" w:cs="Times New Roman"/>
          <w:color w:val="0D0D0D" w:themeColor="text1" w:themeTint="F2"/>
        </w:rPr>
        <w:t>y’s</w:t>
      </w:r>
      <w:r w:rsidRPr="00DA7EA8">
        <w:rPr>
          <w:rFonts w:ascii="Times New Roman" w:eastAsia="Times New Roman" w:hAnsi="Times New Roman" w:cs="Times New Roman"/>
          <w:color w:val="0D0D0D" w:themeColor="text1" w:themeTint="F2"/>
        </w:rPr>
        <w:t xml:space="preserve"> tax bracket.</w:t>
      </w:r>
    </w:p>
    <w:p w:rsidR="00861CB0" w:rsidRPr="00DA7EA8" w:rsidRDefault="00861CB0" w:rsidP="00861CB0">
      <w:pPr>
        <w:pStyle w:val="ListParagraph"/>
        <w:numPr>
          <w:ilvl w:val="0"/>
          <w:numId w:val="13"/>
        </w:numPr>
        <w:spacing w:line="240" w:lineRule="auto"/>
        <w:jc w:val="both"/>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When the IRA owner has a taxable estate and can afford to pay the taxes with funds outside the IRA.</w:t>
      </w:r>
    </w:p>
    <w:p w:rsidR="00861CB0" w:rsidRPr="00DA7EA8" w:rsidRDefault="00861CB0" w:rsidP="00861CB0">
      <w:pPr>
        <w:pStyle w:val="ListParagraph"/>
        <w:numPr>
          <w:ilvl w:val="0"/>
          <w:numId w:val="13"/>
        </w:numPr>
        <w:spacing w:line="240" w:lineRule="auto"/>
        <w:jc w:val="both"/>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When there is a long</w:t>
      </w:r>
      <w:r w:rsidR="008D7060">
        <w:rPr>
          <w:rFonts w:ascii="Times New Roman" w:eastAsia="Times New Roman" w:hAnsi="Times New Roman" w:cs="Times New Roman"/>
          <w:color w:val="0D0D0D" w:themeColor="text1" w:themeTint="F2"/>
        </w:rPr>
        <w:t>-</w:t>
      </w:r>
      <w:r w:rsidRPr="00DA7EA8">
        <w:rPr>
          <w:rFonts w:ascii="Times New Roman" w:eastAsia="Times New Roman" w:hAnsi="Times New Roman" w:cs="Times New Roman"/>
          <w:color w:val="0D0D0D" w:themeColor="text1" w:themeTint="F2"/>
        </w:rPr>
        <w:t>term time horizon</w:t>
      </w:r>
      <w:r w:rsidR="008D7060">
        <w:rPr>
          <w:rFonts w:ascii="Times New Roman" w:eastAsia="Times New Roman" w:hAnsi="Times New Roman" w:cs="Times New Roman"/>
          <w:color w:val="0D0D0D" w:themeColor="text1" w:themeTint="F2"/>
        </w:rPr>
        <w:t>.</w:t>
      </w:r>
      <w:r w:rsidRPr="00DA7EA8">
        <w:rPr>
          <w:rFonts w:ascii="Times New Roman" w:eastAsia="Times New Roman" w:hAnsi="Times New Roman" w:cs="Times New Roman"/>
          <w:color w:val="0D0D0D" w:themeColor="text1" w:themeTint="F2"/>
        </w:rPr>
        <w:t xml:space="preserve"> (Note: converting typically requires a 5</w:t>
      </w:r>
      <w:r w:rsidR="008D7060">
        <w:rPr>
          <w:rFonts w:ascii="Times New Roman" w:eastAsia="Times New Roman" w:hAnsi="Times New Roman" w:cs="Times New Roman"/>
          <w:color w:val="0D0D0D" w:themeColor="text1" w:themeTint="F2"/>
        </w:rPr>
        <w:t>-</w:t>
      </w:r>
      <w:r w:rsidRPr="00DA7EA8">
        <w:rPr>
          <w:rFonts w:ascii="Times New Roman" w:eastAsia="Times New Roman" w:hAnsi="Times New Roman" w:cs="Times New Roman"/>
          <w:color w:val="0D0D0D" w:themeColor="text1" w:themeTint="F2"/>
        </w:rPr>
        <w:t>year hold period to avoid penalties and the result is more tax advantageous</w:t>
      </w:r>
      <w:r w:rsidR="008D7060">
        <w:rPr>
          <w:rFonts w:ascii="Times New Roman" w:eastAsia="Times New Roman" w:hAnsi="Times New Roman" w:cs="Times New Roman"/>
          <w:color w:val="0D0D0D" w:themeColor="text1" w:themeTint="F2"/>
        </w:rPr>
        <w:t>.)</w:t>
      </w:r>
    </w:p>
    <w:p w:rsidR="00B85F41" w:rsidRPr="00916A8F" w:rsidRDefault="00B85F41" w:rsidP="00A079E0">
      <w:pPr>
        <w:spacing w:line="240" w:lineRule="auto"/>
        <w:jc w:val="both"/>
        <w:rPr>
          <w:rFonts w:ascii="Times New Roman" w:eastAsia="Times New Roman" w:hAnsi="Times New Roman" w:cs="Times New Roman"/>
          <w:b/>
          <w:color w:val="0D0D0D" w:themeColor="text1" w:themeTint="F2"/>
          <w:sz w:val="24"/>
          <w:szCs w:val="24"/>
        </w:rPr>
      </w:pPr>
      <w:r w:rsidRPr="00282CCF">
        <w:rPr>
          <w:rFonts w:ascii="Times New Roman" w:eastAsia="Times New Roman" w:hAnsi="Times New Roman" w:cs="Times New Roman"/>
          <w:b/>
          <w:color w:val="0D0D0D" w:themeColor="text1" w:themeTint="F2"/>
          <w:sz w:val="24"/>
          <w:szCs w:val="24"/>
        </w:rPr>
        <w:t>To discuss your</w:t>
      </w:r>
      <w:r>
        <w:rPr>
          <w:rFonts w:ascii="Times New Roman" w:eastAsia="Times New Roman" w:hAnsi="Times New Roman" w:cs="Times New Roman"/>
          <w:b/>
          <w:color w:val="0D0D0D" w:themeColor="text1" w:themeTint="F2"/>
          <w:sz w:val="24"/>
          <w:szCs w:val="24"/>
        </w:rPr>
        <w:t xml:space="preserve"> overall retirement</w:t>
      </w:r>
      <w:r w:rsidR="0067435D">
        <w:rPr>
          <w:rFonts w:ascii="Times New Roman" w:eastAsia="Times New Roman" w:hAnsi="Times New Roman" w:cs="Times New Roman"/>
          <w:b/>
          <w:color w:val="0D0D0D" w:themeColor="text1" w:themeTint="F2"/>
          <w:sz w:val="24"/>
          <w:szCs w:val="24"/>
        </w:rPr>
        <w:t xml:space="preserve"> distribution</w:t>
      </w:r>
      <w:r w:rsidRPr="00282CCF">
        <w:rPr>
          <w:rFonts w:ascii="Times New Roman" w:eastAsia="Times New Roman" w:hAnsi="Times New Roman" w:cs="Times New Roman"/>
          <w:b/>
          <w:color w:val="0D0D0D" w:themeColor="text1" w:themeTint="F2"/>
          <w:sz w:val="24"/>
          <w:szCs w:val="24"/>
        </w:rPr>
        <w:t xml:space="preserve"> strategy call us and schedule an appointment.</w:t>
      </w:r>
    </w:p>
    <w:p w:rsidR="00CE7645" w:rsidRPr="00AE6B3D" w:rsidRDefault="005407E6" w:rsidP="00AE6B3D">
      <w:pPr>
        <w:pStyle w:val="NormalWeb"/>
        <w:shd w:val="clear" w:color="auto" w:fill="D5DCE4" w:themeFill="text2" w:themeFillTint="33"/>
        <w:jc w:val="center"/>
        <w:rPr>
          <w:rFonts w:asciiTheme="minorHAnsi" w:eastAsiaTheme="minorHAnsi" w:hAnsiTheme="minorHAnsi" w:cstheme="minorBidi"/>
          <w:b/>
          <w:iCs/>
          <w:color w:val="1F4E79" w:themeColor="accent1" w:themeShade="80"/>
          <w:sz w:val="32"/>
          <w:szCs w:val="36"/>
        </w:rPr>
      </w:pPr>
      <w:r w:rsidRPr="00AE6B3D">
        <w:rPr>
          <w:rFonts w:asciiTheme="minorHAnsi" w:eastAsiaTheme="minorHAnsi" w:hAnsiTheme="minorHAnsi" w:cstheme="minorBidi"/>
          <w:b/>
          <w:iCs/>
          <w:color w:val="1F4E79" w:themeColor="accent1" w:themeShade="80"/>
          <w:sz w:val="32"/>
          <w:szCs w:val="36"/>
        </w:rPr>
        <w:t>Roth IRAs and Y</w:t>
      </w:r>
      <w:r w:rsidR="00CE7645" w:rsidRPr="00AE6B3D">
        <w:rPr>
          <w:rFonts w:asciiTheme="minorHAnsi" w:eastAsiaTheme="minorHAnsi" w:hAnsiTheme="minorHAnsi" w:cstheme="minorBidi"/>
          <w:b/>
          <w:iCs/>
          <w:color w:val="1F4E79" w:themeColor="accent1" w:themeShade="80"/>
          <w:sz w:val="32"/>
          <w:szCs w:val="36"/>
        </w:rPr>
        <w:t xml:space="preserve">our Children </w:t>
      </w:r>
      <w:r w:rsidR="00CE7645" w:rsidRPr="00AE6B3D">
        <w:rPr>
          <w:rFonts w:asciiTheme="minorHAnsi" w:eastAsiaTheme="minorHAnsi" w:hAnsiTheme="minorHAnsi" w:cstheme="minorBidi"/>
          <w:b/>
          <w:iCs/>
          <w:color w:val="1F4E79" w:themeColor="accent1" w:themeShade="80"/>
          <w:sz w:val="32"/>
          <w:szCs w:val="36"/>
        </w:rPr>
        <w:br/>
        <w:t>(or Grandchildren)</w:t>
      </w:r>
    </w:p>
    <w:p w:rsidR="00016F97" w:rsidRPr="00DA7EA8" w:rsidRDefault="00852152" w:rsidP="00861CB0">
      <w:pPr>
        <w:spacing w:line="240" w:lineRule="auto"/>
        <w:jc w:val="both"/>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 xml:space="preserve">Many people think they can hold off saving for retirement </w:t>
      </w:r>
      <w:r w:rsidR="007C0814" w:rsidRPr="00DA7EA8">
        <w:rPr>
          <w:rFonts w:ascii="Times New Roman" w:eastAsia="Times New Roman" w:hAnsi="Times New Roman" w:cs="Times New Roman"/>
          <w:color w:val="0D0D0D" w:themeColor="text1" w:themeTint="F2"/>
        </w:rPr>
        <w:t xml:space="preserve">when they are younger </w:t>
      </w:r>
      <w:r w:rsidRPr="00DA7EA8">
        <w:rPr>
          <w:rFonts w:ascii="Times New Roman" w:eastAsia="Times New Roman" w:hAnsi="Times New Roman" w:cs="Times New Roman"/>
          <w:color w:val="0D0D0D" w:themeColor="text1" w:themeTint="F2"/>
        </w:rPr>
        <w:t xml:space="preserve">and make up the difference later. Savvy investors know this can be a costly mistake. Waiting too long to start saving can make it very difficult to catch up and only a few years can make a big difference in how much you'll accumulate.  For some, having a large retirement account might seem like a nice but unattainable goal. It can become more realistic if </w:t>
      </w:r>
      <w:r w:rsidR="00702529" w:rsidRPr="00DA7EA8">
        <w:rPr>
          <w:rFonts w:ascii="Times New Roman" w:eastAsia="Times New Roman" w:hAnsi="Times New Roman" w:cs="Times New Roman"/>
          <w:color w:val="0D0D0D" w:themeColor="text1" w:themeTint="F2"/>
        </w:rPr>
        <w:t>they</w:t>
      </w:r>
      <w:r w:rsidRPr="00DA7EA8">
        <w:rPr>
          <w:rFonts w:ascii="Times New Roman" w:eastAsia="Times New Roman" w:hAnsi="Times New Roman" w:cs="Times New Roman"/>
          <w:color w:val="0D0D0D" w:themeColor="text1" w:themeTint="F2"/>
        </w:rPr>
        <w:t xml:space="preserve"> know the secret: time.  </w:t>
      </w:r>
      <w:r w:rsidR="00CD317A" w:rsidRPr="00DA7EA8">
        <w:rPr>
          <w:rFonts w:ascii="Times New Roman" w:eastAsia="Times New Roman" w:hAnsi="Times New Roman" w:cs="Times New Roman"/>
          <w:color w:val="0D0D0D" w:themeColor="text1" w:themeTint="F2"/>
        </w:rPr>
        <w:t>When should you start saving for retirement?  It might seem backwards to worry about the last money you'll need early in life, but because compounding over time can be so powerful, starting early gives you more flexibility later on in life.  If you have children (or grandchildren) who earn money, now might be a good time to help them start or fund a retirement account. While they can always fund a traditional IRA, if they qualify, a Roth IRA might be an even better choice.</w:t>
      </w:r>
    </w:p>
    <w:p w:rsidR="005C16BC" w:rsidRPr="00AE6B3D" w:rsidRDefault="00B02955" w:rsidP="00AE6B3D">
      <w:pPr>
        <w:pStyle w:val="NormalWeb"/>
        <w:shd w:val="clear" w:color="auto" w:fill="D5DCE4" w:themeFill="text2" w:themeFillTint="33"/>
        <w:jc w:val="center"/>
        <w:rPr>
          <w:rFonts w:asciiTheme="minorHAnsi" w:eastAsiaTheme="minorHAnsi" w:hAnsiTheme="minorHAnsi" w:cstheme="minorBidi"/>
          <w:b/>
          <w:iCs/>
          <w:color w:val="1F4E79" w:themeColor="accent1" w:themeShade="80"/>
          <w:sz w:val="32"/>
          <w:szCs w:val="36"/>
        </w:rPr>
      </w:pPr>
      <w:r w:rsidRPr="00AE6B3D">
        <w:rPr>
          <w:rFonts w:asciiTheme="minorHAnsi" w:eastAsiaTheme="minorHAnsi" w:hAnsiTheme="minorHAnsi" w:cstheme="minorBidi"/>
          <w:b/>
          <w:iCs/>
          <w:color w:val="1F4E79" w:themeColor="accent1" w:themeShade="80"/>
          <w:sz w:val="32"/>
          <w:szCs w:val="36"/>
        </w:rPr>
        <w:t xml:space="preserve">Custodial </w:t>
      </w:r>
      <w:r w:rsidR="005C16BC" w:rsidRPr="00AE6B3D">
        <w:rPr>
          <w:rFonts w:asciiTheme="minorHAnsi" w:eastAsiaTheme="minorHAnsi" w:hAnsiTheme="minorHAnsi" w:cstheme="minorBidi"/>
          <w:b/>
          <w:iCs/>
          <w:color w:val="1F4E79" w:themeColor="accent1" w:themeShade="80"/>
          <w:sz w:val="32"/>
          <w:szCs w:val="36"/>
        </w:rPr>
        <w:t>Roth IRAs</w:t>
      </w:r>
    </w:p>
    <w:p w:rsidR="00CE7645" w:rsidRPr="00DA7EA8" w:rsidRDefault="005C16BC" w:rsidP="005C16BC">
      <w:pPr>
        <w:spacing w:after="240" w:line="240" w:lineRule="auto"/>
        <w:jc w:val="both"/>
        <w:textAlignment w:val="baseline"/>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Starting retirement savings early can allow you the potential advantage of growing mone</w:t>
      </w:r>
      <w:r w:rsidR="00566915" w:rsidRPr="00DA7EA8">
        <w:rPr>
          <w:rFonts w:ascii="Times New Roman" w:eastAsia="Times New Roman" w:hAnsi="Times New Roman" w:cs="Times New Roman"/>
          <w:color w:val="0D0D0D" w:themeColor="text1" w:themeTint="F2"/>
        </w:rPr>
        <w:t>y in a tax efficient account over</w:t>
      </w:r>
      <w:r w:rsidRPr="00DA7EA8">
        <w:rPr>
          <w:rFonts w:ascii="Times New Roman" w:eastAsia="Times New Roman" w:hAnsi="Times New Roman" w:cs="Times New Roman"/>
          <w:color w:val="0D0D0D" w:themeColor="text1" w:themeTint="F2"/>
        </w:rPr>
        <w:t xml:space="preserve"> a long period of time.  Many children work before they reach age 18. The income they earn makes them eligible to contribute to a Roth IRA, which can be an extremely smart move for teenagers. </w:t>
      </w:r>
      <w:r w:rsidR="00CE7645" w:rsidRPr="00DA7EA8">
        <w:rPr>
          <w:rFonts w:ascii="Times New Roman" w:eastAsia="Times New Roman" w:hAnsi="Times New Roman" w:cs="Times New Roman"/>
          <w:color w:val="0D0D0D" w:themeColor="text1" w:themeTint="F2"/>
        </w:rPr>
        <w:t xml:space="preserve">This can also provide an excellent opportunity for you to teach or reinforce with your children the importance of saving money. </w:t>
      </w:r>
    </w:p>
    <w:p w:rsidR="005C16BC" w:rsidRPr="00DA7EA8" w:rsidRDefault="005C16BC" w:rsidP="005C16BC">
      <w:pPr>
        <w:spacing w:after="240" w:line="240" w:lineRule="auto"/>
        <w:jc w:val="both"/>
        <w:textAlignment w:val="baseline"/>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Historically</w:t>
      </w:r>
      <w:r w:rsidR="006209FC" w:rsidRPr="00DA7EA8">
        <w:rPr>
          <w:rFonts w:ascii="Times New Roman" w:eastAsia="Times New Roman" w:hAnsi="Times New Roman" w:cs="Times New Roman"/>
          <w:color w:val="0D0D0D" w:themeColor="text1" w:themeTint="F2"/>
        </w:rPr>
        <w:t>,</w:t>
      </w:r>
      <w:r w:rsidRPr="00DA7EA8">
        <w:rPr>
          <w:rFonts w:ascii="Times New Roman" w:eastAsia="Times New Roman" w:hAnsi="Times New Roman" w:cs="Times New Roman"/>
          <w:color w:val="0D0D0D" w:themeColor="text1" w:themeTint="F2"/>
        </w:rPr>
        <w:t xml:space="preserve"> some financial institutions did not let minor children open a Roth IRA. Fortunately, some institutions will let parents act as a custodian on a </w:t>
      </w:r>
      <w:r w:rsidR="00E31264">
        <w:rPr>
          <w:rFonts w:ascii="Times New Roman" w:eastAsia="Times New Roman" w:hAnsi="Times New Roman" w:cs="Times New Roman"/>
          <w:color w:val="0D0D0D" w:themeColor="text1" w:themeTint="F2"/>
        </w:rPr>
        <w:t>C</w:t>
      </w:r>
      <w:r w:rsidRPr="00DA7EA8">
        <w:rPr>
          <w:rFonts w:ascii="Times New Roman" w:eastAsia="Times New Roman" w:hAnsi="Times New Roman" w:cs="Times New Roman"/>
          <w:color w:val="0D0D0D" w:themeColor="text1" w:themeTint="F2"/>
        </w:rPr>
        <w:t xml:space="preserve">ustodial Roth </w:t>
      </w:r>
      <w:r w:rsidRPr="00DA7EA8">
        <w:rPr>
          <w:rFonts w:ascii="Times New Roman" w:eastAsia="Times New Roman" w:hAnsi="Times New Roman" w:cs="Times New Roman"/>
          <w:color w:val="0D0D0D" w:themeColor="text1" w:themeTint="F2"/>
        </w:rPr>
        <w:lastRenderedPageBreak/>
        <w:t xml:space="preserve">IRA for the benefit of their children. </w:t>
      </w:r>
      <w:r w:rsidR="00A91542" w:rsidRPr="00DA7EA8">
        <w:rPr>
          <w:rFonts w:ascii="Times New Roman" w:eastAsia="Times New Roman" w:hAnsi="Times New Roman" w:cs="Times New Roman"/>
          <w:color w:val="0D0D0D" w:themeColor="text1" w:themeTint="F2"/>
        </w:rPr>
        <w:t>Some of the rules re</w:t>
      </w:r>
      <w:r w:rsidR="006209FC" w:rsidRPr="00DA7EA8">
        <w:rPr>
          <w:rFonts w:ascii="Times New Roman" w:eastAsia="Times New Roman" w:hAnsi="Times New Roman" w:cs="Times New Roman"/>
          <w:color w:val="0D0D0D" w:themeColor="text1" w:themeTint="F2"/>
        </w:rPr>
        <w:t xml:space="preserve">garding </w:t>
      </w:r>
      <w:r w:rsidR="008C06D8">
        <w:rPr>
          <w:rFonts w:ascii="Times New Roman" w:eastAsia="Times New Roman" w:hAnsi="Times New Roman" w:cs="Times New Roman"/>
          <w:color w:val="0D0D0D" w:themeColor="text1" w:themeTint="F2"/>
        </w:rPr>
        <w:t>C</w:t>
      </w:r>
      <w:r w:rsidR="006209FC" w:rsidRPr="00DA7EA8">
        <w:rPr>
          <w:rFonts w:ascii="Times New Roman" w:eastAsia="Times New Roman" w:hAnsi="Times New Roman" w:cs="Times New Roman"/>
          <w:color w:val="0D0D0D" w:themeColor="text1" w:themeTint="F2"/>
        </w:rPr>
        <w:t>ustodial Roth IRAs are:</w:t>
      </w:r>
    </w:p>
    <w:p w:rsidR="00AE6B3D" w:rsidRPr="008C06D8" w:rsidRDefault="005C16BC" w:rsidP="00D472F5">
      <w:pPr>
        <w:pStyle w:val="ListParagraph"/>
        <w:numPr>
          <w:ilvl w:val="0"/>
          <w:numId w:val="11"/>
        </w:numPr>
        <w:spacing w:after="240" w:line="240" w:lineRule="auto"/>
        <w:ind w:left="270" w:hanging="270"/>
        <w:jc w:val="both"/>
        <w:textAlignment w:val="baseline"/>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 xml:space="preserve">In order to be eligible to open a </w:t>
      </w:r>
      <w:r w:rsidR="00E31264">
        <w:rPr>
          <w:rFonts w:ascii="Times New Roman" w:eastAsia="Times New Roman" w:hAnsi="Times New Roman" w:cs="Times New Roman"/>
          <w:color w:val="0D0D0D" w:themeColor="text1" w:themeTint="F2"/>
        </w:rPr>
        <w:t>C</w:t>
      </w:r>
      <w:r w:rsidRPr="00DA7EA8">
        <w:rPr>
          <w:rFonts w:ascii="Times New Roman" w:eastAsia="Times New Roman" w:hAnsi="Times New Roman" w:cs="Times New Roman"/>
          <w:color w:val="0D0D0D" w:themeColor="text1" w:themeTint="F2"/>
        </w:rPr>
        <w:t>ustodial Roth IRA, the child must meet all the same requirements as an adult</w:t>
      </w:r>
      <w:r w:rsidR="005407E6" w:rsidRPr="00DA7EA8">
        <w:rPr>
          <w:rFonts w:ascii="Times New Roman" w:eastAsia="Times New Roman" w:hAnsi="Times New Roman" w:cs="Times New Roman"/>
          <w:color w:val="0D0D0D" w:themeColor="text1" w:themeTint="F2"/>
        </w:rPr>
        <w:t xml:space="preserve"> would</w:t>
      </w:r>
      <w:r w:rsidRPr="00DA7EA8">
        <w:rPr>
          <w:rFonts w:ascii="Times New Roman" w:eastAsia="Times New Roman" w:hAnsi="Times New Roman" w:cs="Times New Roman"/>
          <w:color w:val="0D0D0D" w:themeColor="text1" w:themeTint="F2"/>
        </w:rPr>
        <w:t>. Th</w:t>
      </w:r>
      <w:r w:rsidR="006209FC" w:rsidRPr="00DA7EA8">
        <w:rPr>
          <w:rFonts w:ascii="Times New Roman" w:eastAsia="Times New Roman" w:hAnsi="Times New Roman" w:cs="Times New Roman"/>
          <w:color w:val="0D0D0D" w:themeColor="text1" w:themeTint="F2"/>
        </w:rPr>
        <w:t>e minor must have earned income</w:t>
      </w:r>
      <w:r w:rsidRPr="00DA7EA8">
        <w:rPr>
          <w:rFonts w:ascii="Times New Roman" w:eastAsia="Times New Roman" w:hAnsi="Times New Roman" w:cs="Times New Roman"/>
          <w:color w:val="0D0D0D" w:themeColor="text1" w:themeTint="F2"/>
        </w:rPr>
        <w:t xml:space="preserve"> and contributions are limited to the lesser of total earned income for the year and the current ma</w:t>
      </w:r>
      <w:r w:rsidR="00282CCF" w:rsidRPr="00DA7EA8">
        <w:rPr>
          <w:rFonts w:ascii="Times New Roman" w:eastAsia="Times New Roman" w:hAnsi="Times New Roman" w:cs="Times New Roman"/>
          <w:color w:val="0D0D0D" w:themeColor="text1" w:themeTint="F2"/>
        </w:rPr>
        <w:t xml:space="preserve">ximum set by law, which for </w:t>
      </w:r>
      <w:r w:rsidR="00577846">
        <w:rPr>
          <w:rFonts w:ascii="Times New Roman" w:eastAsia="Times New Roman" w:hAnsi="Times New Roman" w:cs="Times New Roman"/>
          <w:color w:val="0D0D0D" w:themeColor="text1" w:themeTint="F2"/>
        </w:rPr>
        <w:t>2018</w:t>
      </w:r>
      <w:r w:rsidRPr="00DA7EA8">
        <w:rPr>
          <w:rFonts w:ascii="Times New Roman" w:eastAsia="Times New Roman" w:hAnsi="Times New Roman" w:cs="Times New Roman"/>
          <w:color w:val="0D0D0D" w:themeColor="text1" w:themeTint="F2"/>
        </w:rPr>
        <w:t xml:space="preserve"> is $5,500.</w:t>
      </w:r>
    </w:p>
    <w:p w:rsidR="00AE6B3D" w:rsidRPr="00AE6B3D" w:rsidRDefault="005C16BC" w:rsidP="00AE6B3D">
      <w:pPr>
        <w:pStyle w:val="ListParagraph"/>
        <w:numPr>
          <w:ilvl w:val="0"/>
          <w:numId w:val="11"/>
        </w:numPr>
        <w:spacing w:after="240" w:line="240" w:lineRule="auto"/>
        <w:ind w:left="270" w:hanging="270"/>
        <w:jc w:val="both"/>
        <w:textAlignment w:val="baseline"/>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 xml:space="preserve">Also, adjusted gross income for the child must be below the thresholds above </w:t>
      </w:r>
      <w:r w:rsidR="00282CCF" w:rsidRPr="00DA7EA8">
        <w:rPr>
          <w:rFonts w:ascii="Times New Roman" w:eastAsia="Times New Roman" w:hAnsi="Times New Roman" w:cs="Times New Roman"/>
          <w:color w:val="0D0D0D" w:themeColor="text1" w:themeTint="F2"/>
        </w:rPr>
        <w:t>which Roth IRAs aren't allowed.</w:t>
      </w:r>
    </w:p>
    <w:p w:rsidR="00AE6B3D" w:rsidRPr="00D472F5" w:rsidRDefault="005C16BC" w:rsidP="00D472F5">
      <w:pPr>
        <w:pStyle w:val="ListParagraph"/>
        <w:numPr>
          <w:ilvl w:val="0"/>
          <w:numId w:val="11"/>
        </w:numPr>
        <w:spacing w:after="240" w:line="240" w:lineRule="auto"/>
        <w:ind w:left="270" w:hanging="270"/>
        <w:jc w:val="both"/>
        <w:textAlignment w:val="baseline"/>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Even though the custodian is the legal owner of the account, the Roth IRA must be managed for the benefit of the minor child. </w:t>
      </w:r>
    </w:p>
    <w:p w:rsidR="00566915" w:rsidRPr="00DA7EA8" w:rsidRDefault="00566915" w:rsidP="00CF28EC">
      <w:pPr>
        <w:pStyle w:val="ListParagraph"/>
        <w:numPr>
          <w:ilvl w:val="0"/>
          <w:numId w:val="11"/>
        </w:numPr>
        <w:spacing w:after="240" w:line="240" w:lineRule="auto"/>
        <w:ind w:left="270" w:hanging="270"/>
        <w:jc w:val="both"/>
        <w:textAlignment w:val="baseline"/>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As the custodian, you make the decisions on investment choices—as well as decisions on if, why, and when the money might be withdrawn—until your child reaches “adulthood,” defined by age (usually between 18 and 21, depending on your state of residence). Once they reach that age, the account will then need to be re-registered in their name and it</w:t>
      </w:r>
      <w:r w:rsidR="005C16BC" w:rsidRPr="00DA7EA8">
        <w:rPr>
          <w:rFonts w:ascii="Times New Roman" w:eastAsia="Times New Roman" w:hAnsi="Times New Roman" w:cs="Times New Roman"/>
          <w:color w:val="0D0D0D" w:themeColor="text1" w:themeTint="F2"/>
        </w:rPr>
        <w:t xml:space="preserve"> becomes an ordinary Roth IRA. </w:t>
      </w:r>
    </w:p>
    <w:p w:rsidR="002227D9" w:rsidRPr="00DA7EA8" w:rsidRDefault="002227D9" w:rsidP="002227D9">
      <w:pPr>
        <w:spacing w:after="240" w:line="240" w:lineRule="auto"/>
        <w:jc w:val="both"/>
        <w:textAlignment w:val="baseline"/>
        <w:rPr>
          <w:rFonts w:ascii="Times New Roman" w:eastAsia="Times New Roman" w:hAnsi="Times New Roman" w:cs="Times New Roman"/>
          <w:color w:val="0D0D0D" w:themeColor="text1" w:themeTint="F2"/>
        </w:rPr>
      </w:pPr>
      <w:r w:rsidRPr="00DA7EA8">
        <w:rPr>
          <w:rFonts w:ascii="Times New Roman" w:eastAsia="Times New Roman" w:hAnsi="Times New Roman" w:cs="Times New Roman"/>
          <w:color w:val="0D0D0D" w:themeColor="text1" w:themeTint="F2"/>
        </w:rPr>
        <w:t>If you're the parent of a child who has earned income, a Custodial IRA can be a great way to teach the value of saving and investing. Besides getting a head start on saving, your child may be able to use the funds for college expenses—or even to buy a first home.</w:t>
      </w:r>
    </w:p>
    <w:p w:rsidR="00CE7645" w:rsidRDefault="006E117F" w:rsidP="00CD317A">
      <w:pPr>
        <w:spacing w:after="0" w:line="240" w:lineRule="auto"/>
        <w:jc w:val="both"/>
        <w:textAlignment w:val="baseline"/>
        <w:rPr>
          <w:rFonts w:ascii="Times New Roman" w:eastAsia="Times New Roman" w:hAnsi="Times New Roman" w:cs="Times New Roman"/>
          <w:b/>
          <w:sz w:val="23"/>
          <w:szCs w:val="23"/>
        </w:rPr>
      </w:pPr>
      <w:r w:rsidRPr="00E57ECE">
        <w:rPr>
          <w:rFonts w:ascii="Times New Roman" w:eastAsia="Calibri" w:hAnsi="Times New Roman" w:cs="Times New Roman"/>
          <w:noProof/>
          <w:sz w:val="24"/>
          <w:szCs w:val="24"/>
        </w:rPr>
        <w:drawing>
          <wp:anchor distT="0" distB="0" distL="114300" distR="114300" simplePos="0" relativeHeight="251679232" behindDoc="0" locked="0" layoutInCell="1" allowOverlap="1" wp14:anchorId="451505D7" wp14:editId="528DD54F">
            <wp:simplePos x="0" y="0"/>
            <wp:positionH relativeFrom="column">
              <wp:posOffset>48260</wp:posOffset>
            </wp:positionH>
            <wp:positionV relativeFrom="paragraph">
              <wp:posOffset>796290</wp:posOffset>
            </wp:positionV>
            <wp:extent cx="1476375" cy="1162050"/>
            <wp:effectExtent l="0" t="0" r="9525"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2529">
        <w:rPr>
          <w:noProof/>
          <w:color w:val="948A54"/>
          <w:sz w:val="16"/>
          <w:szCs w:val="16"/>
        </w:rPr>
        <mc:AlternateContent>
          <mc:Choice Requires="wps">
            <w:drawing>
              <wp:anchor distT="45720" distB="45720" distL="114300" distR="114300" simplePos="0" relativeHeight="251667968" behindDoc="0" locked="0" layoutInCell="1" allowOverlap="1" wp14:anchorId="3C92F547" wp14:editId="6CD867DA">
                <wp:simplePos x="0" y="0"/>
                <wp:positionH relativeFrom="column">
                  <wp:posOffset>-38100</wp:posOffset>
                </wp:positionH>
                <wp:positionV relativeFrom="paragraph">
                  <wp:posOffset>727710</wp:posOffset>
                </wp:positionV>
                <wp:extent cx="7018020" cy="1325880"/>
                <wp:effectExtent l="38100" t="38100" r="87630" b="1028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1325880"/>
                        </a:xfrm>
                        <a:prstGeom prst="rect">
                          <a:avLst/>
                        </a:prstGeom>
                        <a:solidFill>
                          <a:schemeClr val="bg1">
                            <a:lumMod val="95000"/>
                          </a:schemeClr>
                        </a:solidFill>
                        <a:ln w="9525">
                          <a:noFill/>
                          <a:miter lim="800000"/>
                          <a:headEnd/>
                          <a:tailEnd/>
                        </a:ln>
                        <a:effectLst>
                          <a:outerShdw blurRad="50800" dist="38100" dir="2700000" algn="tl" rotWithShape="0">
                            <a:prstClr val="black">
                              <a:alpha val="40000"/>
                            </a:prstClr>
                          </a:outerShdw>
                        </a:effectLst>
                      </wps:spPr>
                      <wps:txbx>
                        <w:txbxContent>
                          <w:p w:rsidR="00634B59" w:rsidRPr="00E30C65" w:rsidRDefault="00634B59" w:rsidP="00634B59">
                            <w:pPr>
                              <w:pStyle w:val="Footer"/>
                              <w:ind w:left="2520" w:right="90"/>
                              <w:jc w:val="center"/>
                              <w:rPr>
                                <w:color w:val="003399"/>
                                <w:sz w:val="44"/>
                                <w:szCs w:val="44"/>
                              </w:rPr>
                            </w:pPr>
                            <w:r w:rsidRPr="00E30C65">
                              <w:rPr>
                                <w:b/>
                                <w:i/>
                                <w:color w:val="003399"/>
                                <w:sz w:val="44"/>
                                <w:szCs w:val="44"/>
                              </w:rPr>
                              <w:t xml:space="preserve">Please share this </w:t>
                            </w:r>
                            <w:r w:rsidR="00E30C65">
                              <w:rPr>
                                <w:b/>
                                <w:i/>
                                <w:color w:val="003399"/>
                                <w:sz w:val="44"/>
                                <w:szCs w:val="44"/>
                              </w:rPr>
                              <w:t xml:space="preserve">information </w:t>
                            </w:r>
                            <w:r w:rsidRPr="00E30C65">
                              <w:rPr>
                                <w:b/>
                                <w:i/>
                                <w:color w:val="003399"/>
                                <w:sz w:val="44"/>
                                <w:szCs w:val="44"/>
                              </w:rPr>
                              <w:t>with others!</w:t>
                            </w:r>
                          </w:p>
                          <w:p w:rsidR="00634B59" w:rsidRPr="00D90BEE" w:rsidRDefault="00634B59" w:rsidP="00634B59">
                            <w:pPr>
                              <w:ind w:left="2430"/>
                              <w:rPr>
                                <w:color w:val="385623" w:themeColor="accent6" w:themeShade="80"/>
                              </w:rPr>
                            </w:pPr>
                            <w:r w:rsidRPr="00596CAD">
                              <w:rPr>
                                <w:color w:val="0D0D0D"/>
                              </w:rPr>
                              <w:br/>
                            </w:r>
                            <w:r w:rsidRPr="00E30C65">
                              <w:rPr>
                                <w:color w:val="003399"/>
                                <w:sz w:val="24"/>
                                <w:szCs w:val="28"/>
                              </w:rPr>
                              <w:t xml:space="preserve">This year, our goal is to offer services to several other clients just like you! If you would like to share this </w:t>
                            </w:r>
                            <w:r w:rsidR="00E30C65">
                              <w:rPr>
                                <w:color w:val="003399"/>
                                <w:sz w:val="24"/>
                                <w:szCs w:val="28"/>
                              </w:rPr>
                              <w:t xml:space="preserve">information </w:t>
                            </w:r>
                            <w:r w:rsidRPr="00E30C65">
                              <w:rPr>
                                <w:color w:val="003399"/>
                                <w:sz w:val="24"/>
                                <w:szCs w:val="28"/>
                              </w:rPr>
                              <w:t xml:space="preserve">with a friend or colleague, please call </w:t>
                            </w:r>
                            <w:r w:rsidR="006E117F" w:rsidRPr="006E117F">
                              <w:rPr>
                                <w:b/>
                                <w:color w:val="003399"/>
                                <w:sz w:val="24"/>
                                <w:szCs w:val="28"/>
                              </w:rPr>
                              <w:t>Marlena at Superior Financial Management</w:t>
                            </w:r>
                            <w:r w:rsidRPr="006E117F">
                              <w:rPr>
                                <w:b/>
                                <w:color w:val="003399"/>
                                <w:sz w:val="24"/>
                                <w:szCs w:val="28"/>
                              </w:rPr>
                              <w:t xml:space="preserve"> at (</w:t>
                            </w:r>
                            <w:r w:rsidR="006E117F" w:rsidRPr="006E117F">
                              <w:rPr>
                                <w:b/>
                                <w:color w:val="003399"/>
                                <w:sz w:val="24"/>
                                <w:szCs w:val="28"/>
                              </w:rPr>
                              <w:t>516</w:t>
                            </w:r>
                            <w:r w:rsidRPr="006E117F">
                              <w:rPr>
                                <w:b/>
                                <w:color w:val="003399"/>
                                <w:sz w:val="24"/>
                                <w:szCs w:val="28"/>
                              </w:rPr>
                              <w:t xml:space="preserve">) </w:t>
                            </w:r>
                            <w:r w:rsidR="006E117F" w:rsidRPr="006E117F">
                              <w:rPr>
                                <w:b/>
                                <w:color w:val="003399"/>
                                <w:sz w:val="24"/>
                                <w:szCs w:val="28"/>
                              </w:rPr>
                              <w:t>939-2789</w:t>
                            </w:r>
                            <w:r w:rsidRPr="00E30C65">
                              <w:rPr>
                                <w:color w:val="003399"/>
                                <w:sz w:val="24"/>
                                <w:szCs w:val="28"/>
                              </w:rPr>
                              <w:t xml:space="preserve"> and we would be happy to assist</w:t>
                            </w:r>
                            <w:r w:rsidR="006E117F">
                              <w:rPr>
                                <w:color w:val="003399"/>
                                <w:sz w:val="24"/>
                                <w:szCs w:val="28"/>
                              </w:rPr>
                              <w:t>.</w:t>
                            </w:r>
                          </w:p>
                          <w:p w:rsidR="00702529" w:rsidRDefault="007025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pt;margin-top:57.3pt;width:552.6pt;height:104.4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" fillcolor="#f2f2f2 [3052]" stroked="f">
                <v:shadow on="t" color="black" opacity="26214f" origin="-.5,-.5" offset=".74836mm,.74836mm"/>
                <v:textbox>
                  <w:txbxContent>
                    <w:p w:rsidR="00634B59" w:rsidRPr="00E30C65" w:rsidRDefault="00634B59" w:rsidP="00634B59">
                      <w:pPr>
                        <w:pStyle w:val="Footer"/>
                        <w:ind w:left="2520" w:right="90"/>
                        <w:jc w:val="center"/>
                        <w:rPr>
                          <w:color w:val="003399"/>
                          <w:sz w:val="44"/>
                          <w:szCs w:val="44"/>
                        </w:rPr>
                      </w:pPr>
                      <w:r w:rsidRPr="00E30C65">
                        <w:rPr>
                          <w:b/>
                          <w:i/>
                          <w:color w:val="003399"/>
                          <w:sz w:val="44"/>
                          <w:szCs w:val="44"/>
                        </w:rPr>
                        <w:t xml:space="preserve">Please share this </w:t>
                      </w:r>
                      <w:r w:rsidR="00E30C65">
                        <w:rPr>
                          <w:b/>
                          <w:i/>
                          <w:color w:val="003399"/>
                          <w:sz w:val="44"/>
                          <w:szCs w:val="44"/>
                        </w:rPr>
                        <w:t xml:space="preserve">information </w:t>
                      </w:r>
                      <w:r w:rsidRPr="00E30C65">
                        <w:rPr>
                          <w:b/>
                          <w:i/>
                          <w:color w:val="003399"/>
                          <w:sz w:val="44"/>
                          <w:szCs w:val="44"/>
                        </w:rPr>
                        <w:t>with others!</w:t>
                      </w:r>
                    </w:p>
                    <w:p w:rsidR="00634B59" w:rsidRPr="00D90BEE" w:rsidRDefault="00634B59" w:rsidP="00634B59">
                      <w:pPr>
                        <w:ind w:left="2430"/>
                        <w:rPr>
                          <w:color w:val="385623" w:themeColor="accent6" w:themeShade="80"/>
                        </w:rPr>
                      </w:pPr>
                      <w:r w:rsidRPr="00596CAD">
                        <w:rPr>
                          <w:color w:val="0D0D0D"/>
                        </w:rPr>
                        <w:br/>
                      </w:r>
                      <w:r w:rsidRPr="00E30C65">
                        <w:rPr>
                          <w:color w:val="003399"/>
                          <w:sz w:val="24"/>
                          <w:szCs w:val="28"/>
                        </w:rPr>
                        <w:t xml:space="preserve">This year, our goal is to offer services to several other clients just like you! If you would like to share this </w:t>
                      </w:r>
                      <w:r w:rsidR="00E30C65">
                        <w:rPr>
                          <w:color w:val="003399"/>
                          <w:sz w:val="24"/>
                          <w:szCs w:val="28"/>
                        </w:rPr>
                        <w:t xml:space="preserve">information </w:t>
                      </w:r>
                      <w:r w:rsidRPr="00E30C65">
                        <w:rPr>
                          <w:color w:val="003399"/>
                          <w:sz w:val="24"/>
                          <w:szCs w:val="28"/>
                        </w:rPr>
                        <w:t xml:space="preserve">with a friend or colleague, please call </w:t>
                      </w:r>
                      <w:r w:rsidR="006E117F" w:rsidRPr="006E117F">
                        <w:rPr>
                          <w:b/>
                          <w:color w:val="003399"/>
                          <w:sz w:val="24"/>
                          <w:szCs w:val="28"/>
                        </w:rPr>
                        <w:t>Marlena at Superior Financial Management</w:t>
                      </w:r>
                      <w:r w:rsidRPr="006E117F">
                        <w:rPr>
                          <w:b/>
                          <w:color w:val="003399"/>
                          <w:sz w:val="24"/>
                          <w:szCs w:val="28"/>
                        </w:rPr>
                        <w:t xml:space="preserve"> at (</w:t>
                      </w:r>
                      <w:r w:rsidR="006E117F" w:rsidRPr="006E117F">
                        <w:rPr>
                          <w:b/>
                          <w:color w:val="003399"/>
                          <w:sz w:val="24"/>
                          <w:szCs w:val="28"/>
                        </w:rPr>
                        <w:t>516</w:t>
                      </w:r>
                      <w:r w:rsidRPr="006E117F">
                        <w:rPr>
                          <w:b/>
                          <w:color w:val="003399"/>
                          <w:sz w:val="24"/>
                          <w:szCs w:val="28"/>
                        </w:rPr>
                        <w:t xml:space="preserve">) </w:t>
                      </w:r>
                      <w:r w:rsidR="006E117F" w:rsidRPr="006E117F">
                        <w:rPr>
                          <w:b/>
                          <w:color w:val="003399"/>
                          <w:sz w:val="24"/>
                          <w:szCs w:val="28"/>
                        </w:rPr>
                        <w:t>939-2789</w:t>
                      </w:r>
                      <w:r w:rsidRPr="00E30C65">
                        <w:rPr>
                          <w:color w:val="003399"/>
                          <w:sz w:val="24"/>
                          <w:szCs w:val="28"/>
                        </w:rPr>
                        <w:t xml:space="preserve"> and we would be happy to assist</w:t>
                      </w:r>
                      <w:r w:rsidR="006E117F">
                        <w:rPr>
                          <w:color w:val="003399"/>
                          <w:sz w:val="24"/>
                          <w:szCs w:val="28"/>
                        </w:rPr>
                        <w:t>.</w:t>
                      </w:r>
                    </w:p>
                    <w:p w:rsidR="00702529" w:rsidRDefault="00702529"/>
                  </w:txbxContent>
                </v:textbox>
                <w10:wrap type="square"/>
              </v:shape>
            </w:pict>
          </mc:Fallback>
        </mc:AlternateContent>
      </w:r>
      <w:r w:rsidR="00566915" w:rsidRPr="00DA7EA8">
        <w:rPr>
          <w:rFonts w:ascii="Times New Roman" w:eastAsia="Times New Roman" w:hAnsi="Times New Roman" w:cs="Times New Roman"/>
          <w:color w:val="0D0D0D" w:themeColor="text1" w:themeTint="F2"/>
        </w:rPr>
        <w:t xml:space="preserve">There are several ways to make </w:t>
      </w:r>
      <w:r w:rsidR="00CD317A" w:rsidRPr="00DA7EA8">
        <w:rPr>
          <w:rFonts w:ascii="Times New Roman" w:eastAsia="Times New Roman" w:hAnsi="Times New Roman" w:cs="Times New Roman"/>
          <w:color w:val="0D0D0D" w:themeColor="text1" w:themeTint="F2"/>
        </w:rPr>
        <w:t>a</w:t>
      </w:r>
      <w:r w:rsidR="00566915" w:rsidRPr="00DA7EA8">
        <w:rPr>
          <w:rFonts w:ascii="Times New Roman" w:eastAsia="Times New Roman" w:hAnsi="Times New Roman" w:cs="Times New Roman"/>
          <w:color w:val="0D0D0D" w:themeColor="text1" w:themeTint="F2"/>
        </w:rPr>
        <w:t xml:space="preserve"> Custodial Roth happen.  For example</w:t>
      </w:r>
      <w:r w:rsidR="006209FC" w:rsidRPr="00DA7EA8">
        <w:rPr>
          <w:rFonts w:ascii="Times New Roman" w:eastAsia="Times New Roman" w:hAnsi="Times New Roman" w:cs="Times New Roman"/>
          <w:color w:val="0D0D0D" w:themeColor="text1" w:themeTint="F2"/>
        </w:rPr>
        <w:t>,</w:t>
      </w:r>
      <w:r w:rsidR="00566915" w:rsidRPr="00DA7EA8">
        <w:rPr>
          <w:rFonts w:ascii="Times New Roman" w:eastAsia="Times New Roman" w:hAnsi="Times New Roman" w:cs="Times New Roman"/>
          <w:color w:val="0D0D0D" w:themeColor="text1" w:themeTint="F2"/>
        </w:rPr>
        <w:t xml:space="preserve"> you c</w:t>
      </w:r>
      <w:r w:rsidR="00282CCF" w:rsidRPr="00DA7EA8">
        <w:rPr>
          <w:rFonts w:ascii="Times New Roman" w:eastAsia="Times New Roman" w:hAnsi="Times New Roman" w:cs="Times New Roman"/>
          <w:color w:val="0D0D0D" w:themeColor="text1" w:themeTint="F2"/>
        </w:rPr>
        <w:t xml:space="preserve">an potentially use your annual ability </w:t>
      </w:r>
      <w:r w:rsidR="00566915" w:rsidRPr="00DA7EA8">
        <w:rPr>
          <w:rFonts w:ascii="Times New Roman" w:eastAsia="Times New Roman" w:hAnsi="Times New Roman" w:cs="Times New Roman"/>
          <w:color w:val="0D0D0D" w:themeColor="text1" w:themeTint="F2"/>
        </w:rPr>
        <w:t xml:space="preserve">to gift </w:t>
      </w:r>
      <w:r w:rsidR="00CE7645" w:rsidRPr="00DA7EA8">
        <w:rPr>
          <w:rFonts w:ascii="Times New Roman" w:eastAsia="Times New Roman" w:hAnsi="Times New Roman" w:cs="Times New Roman"/>
          <w:color w:val="0D0D0D" w:themeColor="text1" w:themeTint="F2"/>
        </w:rPr>
        <w:t>to children</w:t>
      </w:r>
      <w:r w:rsidR="00566915" w:rsidRPr="00DA7EA8">
        <w:rPr>
          <w:rFonts w:ascii="Times New Roman" w:eastAsia="Times New Roman" w:hAnsi="Times New Roman" w:cs="Times New Roman"/>
          <w:color w:val="0D0D0D" w:themeColor="text1" w:themeTint="F2"/>
        </w:rPr>
        <w:t xml:space="preserve"> or grandchildren to make this happen.</w:t>
      </w:r>
      <w:r w:rsidR="00CD317A">
        <w:rPr>
          <w:rFonts w:ascii="Times New Roman" w:eastAsia="Times New Roman" w:hAnsi="Times New Roman" w:cs="Times New Roman"/>
          <w:b/>
          <w:color w:val="0D0D0D" w:themeColor="text1" w:themeTint="F2"/>
        </w:rPr>
        <w:t xml:space="preserve"> </w:t>
      </w:r>
      <w:r w:rsidR="00566915" w:rsidRPr="00DA7EA8">
        <w:rPr>
          <w:rFonts w:ascii="Times New Roman" w:eastAsia="Times New Roman" w:hAnsi="Times New Roman" w:cs="Times New Roman"/>
          <w:b/>
          <w:color w:val="0D0D0D" w:themeColor="text1" w:themeTint="F2"/>
          <w:szCs w:val="24"/>
        </w:rPr>
        <w:t>If your child or grandchild is earning money</w:t>
      </w:r>
      <w:r w:rsidR="00826A39" w:rsidRPr="00DA7EA8">
        <w:rPr>
          <w:rFonts w:ascii="Times New Roman" w:eastAsia="Times New Roman" w:hAnsi="Times New Roman" w:cs="Times New Roman"/>
          <w:b/>
          <w:color w:val="0D0D0D" w:themeColor="text1" w:themeTint="F2"/>
          <w:szCs w:val="24"/>
        </w:rPr>
        <w:t>,</w:t>
      </w:r>
      <w:r w:rsidR="00566915" w:rsidRPr="00DA7EA8">
        <w:rPr>
          <w:rFonts w:ascii="Times New Roman" w:eastAsia="Times New Roman" w:hAnsi="Times New Roman" w:cs="Times New Roman"/>
          <w:b/>
          <w:color w:val="0D0D0D" w:themeColor="text1" w:themeTint="F2"/>
          <w:szCs w:val="24"/>
        </w:rPr>
        <w:t xml:space="preserve"> </w:t>
      </w:r>
      <w:r w:rsidR="00CF28EC" w:rsidRPr="00DA7EA8">
        <w:rPr>
          <w:rFonts w:ascii="Times New Roman" w:eastAsia="Times New Roman" w:hAnsi="Times New Roman" w:cs="Times New Roman"/>
          <w:b/>
          <w:color w:val="0D0D0D" w:themeColor="text1" w:themeTint="F2"/>
          <w:szCs w:val="24"/>
        </w:rPr>
        <w:t>call us</w:t>
      </w:r>
      <w:r w:rsidR="00566915" w:rsidRPr="00DA7EA8">
        <w:rPr>
          <w:rFonts w:ascii="Times New Roman" w:eastAsia="Times New Roman" w:hAnsi="Times New Roman" w:cs="Times New Roman"/>
          <w:b/>
          <w:color w:val="0D0D0D" w:themeColor="text1" w:themeTint="F2"/>
          <w:szCs w:val="24"/>
        </w:rPr>
        <w:t xml:space="preserve"> </w:t>
      </w:r>
      <w:r w:rsidR="00566915" w:rsidRPr="00DA7EA8">
        <w:rPr>
          <w:rFonts w:ascii="Times New Roman" w:eastAsia="Times New Roman" w:hAnsi="Times New Roman" w:cs="Times New Roman"/>
          <w:b/>
          <w:color w:val="0D0D0D" w:themeColor="text1" w:themeTint="F2"/>
          <w:szCs w:val="24"/>
        </w:rPr>
        <w:lastRenderedPageBreak/>
        <w:t xml:space="preserve">and </w:t>
      </w:r>
      <w:r w:rsidR="002227D9" w:rsidRPr="00DA7EA8">
        <w:rPr>
          <w:rFonts w:ascii="Times New Roman" w:eastAsia="Times New Roman" w:hAnsi="Times New Roman" w:cs="Times New Roman"/>
          <w:b/>
          <w:color w:val="0D0D0D" w:themeColor="text1" w:themeTint="F2"/>
          <w:szCs w:val="24"/>
        </w:rPr>
        <w:t>we can discuss your options for</w:t>
      </w:r>
      <w:r w:rsidR="00CD317A" w:rsidRPr="00DA7EA8">
        <w:rPr>
          <w:rFonts w:ascii="Times New Roman" w:eastAsia="Times New Roman" w:hAnsi="Times New Roman" w:cs="Times New Roman"/>
          <w:b/>
          <w:color w:val="0D0D0D" w:themeColor="text1" w:themeTint="F2"/>
          <w:szCs w:val="24"/>
        </w:rPr>
        <w:t xml:space="preserve"> setting up</w:t>
      </w:r>
      <w:r w:rsidR="002227D9" w:rsidRPr="00DA7EA8">
        <w:rPr>
          <w:rFonts w:ascii="Times New Roman" w:eastAsia="Times New Roman" w:hAnsi="Times New Roman" w:cs="Times New Roman"/>
          <w:b/>
          <w:color w:val="0D0D0D" w:themeColor="text1" w:themeTint="F2"/>
          <w:szCs w:val="24"/>
        </w:rPr>
        <w:t xml:space="preserve"> </w:t>
      </w:r>
      <w:r w:rsidR="00695351" w:rsidRPr="00DA7EA8">
        <w:rPr>
          <w:rFonts w:ascii="Times New Roman" w:eastAsia="Times New Roman" w:hAnsi="Times New Roman" w:cs="Times New Roman"/>
          <w:b/>
          <w:color w:val="0D0D0D" w:themeColor="text1" w:themeTint="F2"/>
          <w:szCs w:val="24"/>
        </w:rPr>
        <w:t xml:space="preserve">Custodial </w:t>
      </w:r>
      <w:r w:rsidR="0067435D">
        <w:rPr>
          <w:rFonts w:ascii="Times New Roman" w:eastAsia="Times New Roman" w:hAnsi="Times New Roman" w:cs="Times New Roman"/>
          <w:b/>
          <w:color w:val="0D0D0D" w:themeColor="text1" w:themeTint="F2"/>
          <w:szCs w:val="24"/>
        </w:rPr>
        <w:t>Roth IRAs</w:t>
      </w:r>
      <w:r w:rsidR="00566915" w:rsidRPr="00DA7EA8">
        <w:rPr>
          <w:rFonts w:ascii="Times New Roman" w:eastAsia="Times New Roman" w:hAnsi="Times New Roman" w:cs="Times New Roman"/>
          <w:b/>
          <w:color w:val="0D0D0D" w:themeColor="text1" w:themeTint="F2"/>
          <w:szCs w:val="24"/>
        </w:rPr>
        <w:t>.</w:t>
      </w:r>
    </w:p>
    <w:p w:rsidR="00B02955" w:rsidRPr="00AE6B3D" w:rsidRDefault="00B02955" w:rsidP="00AE6B3D">
      <w:pPr>
        <w:pStyle w:val="NormalWeb"/>
        <w:shd w:val="clear" w:color="auto" w:fill="D5DCE4" w:themeFill="text2" w:themeFillTint="33"/>
        <w:spacing w:after="0" w:afterAutospacing="0"/>
        <w:jc w:val="center"/>
        <w:rPr>
          <w:rFonts w:asciiTheme="minorHAnsi" w:eastAsiaTheme="minorHAnsi" w:hAnsiTheme="minorHAnsi" w:cstheme="minorBidi"/>
          <w:b/>
          <w:iCs/>
          <w:color w:val="1F4E79" w:themeColor="accent1" w:themeShade="80"/>
          <w:sz w:val="32"/>
          <w:szCs w:val="36"/>
        </w:rPr>
      </w:pPr>
      <w:r w:rsidRPr="00AE6B3D">
        <w:rPr>
          <w:rFonts w:asciiTheme="minorHAnsi" w:eastAsiaTheme="minorHAnsi" w:hAnsiTheme="minorHAnsi" w:cstheme="minorBidi"/>
          <w:b/>
          <w:iCs/>
          <w:color w:val="1F4E79" w:themeColor="accent1" w:themeShade="80"/>
          <w:sz w:val="32"/>
          <w:szCs w:val="36"/>
        </w:rPr>
        <w:t>Conclusion</w:t>
      </w:r>
    </w:p>
    <w:p w:rsidR="00AE6B3D" w:rsidRDefault="00AE6B3D" w:rsidP="0067435D">
      <w:pPr>
        <w:spacing w:line="240" w:lineRule="auto"/>
        <w:jc w:val="both"/>
        <w:rPr>
          <w:rFonts w:ascii="Times New Roman" w:eastAsia="Times New Roman" w:hAnsi="Times New Roman" w:cs="Times New Roman"/>
          <w:color w:val="0D0D0D" w:themeColor="text1" w:themeTint="F2"/>
        </w:rPr>
      </w:pPr>
    </w:p>
    <w:p w:rsidR="00861CB0" w:rsidRPr="00D556FC" w:rsidRDefault="008C5B30" w:rsidP="0067435D">
      <w:pPr>
        <w:spacing w:line="240" w:lineRule="auto"/>
        <w:jc w:val="both"/>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rPr>
        <w:t xml:space="preserve">Saving for retirement has and always will be a priority for most investors. </w:t>
      </w:r>
      <w:r w:rsidR="0067435D" w:rsidRPr="00D556FC">
        <w:rPr>
          <w:rFonts w:ascii="Times New Roman" w:eastAsia="Times New Roman" w:hAnsi="Times New Roman" w:cs="Times New Roman"/>
          <w:color w:val="0D0D0D" w:themeColor="text1" w:themeTint="F2"/>
        </w:rPr>
        <w:t xml:space="preserve">Should you convert to a Roth IRA? If so, how much and when? These are good questions that require an examination of your personal situation and goals. This is an area where a highly informed financial advisor can help you make an educated and calculated decision. </w:t>
      </w:r>
      <w:r w:rsidR="0067435D">
        <w:rPr>
          <w:rFonts w:ascii="Times New Roman" w:eastAsia="Times New Roman" w:hAnsi="Times New Roman" w:cs="Times New Roman"/>
          <w:color w:val="0D0D0D" w:themeColor="text1" w:themeTint="F2"/>
        </w:rPr>
        <w:t xml:space="preserve"> W</w:t>
      </w:r>
      <w:r w:rsidR="00861CB0" w:rsidRPr="00D556FC">
        <w:rPr>
          <w:rFonts w:ascii="Times New Roman" w:eastAsia="Times New Roman" w:hAnsi="Times New Roman" w:cs="Times New Roman"/>
          <w:color w:val="0D0D0D" w:themeColor="text1" w:themeTint="F2"/>
        </w:rPr>
        <w:t xml:space="preserve">e realize the decision to convert some or all of your retirement account to a Roth IRA is complex. </w:t>
      </w:r>
      <w:r w:rsidR="00090464" w:rsidRPr="00D556FC">
        <w:rPr>
          <w:rFonts w:ascii="Times New Roman" w:eastAsia="Times New Roman" w:hAnsi="Times New Roman" w:cs="Times New Roman"/>
          <w:color w:val="0D0D0D" w:themeColor="text1" w:themeTint="F2"/>
        </w:rPr>
        <w:t>A Roth IRA can be a very good planning tool. Among its many advantages, Roth IRAs allow your money to grow tax free and withdrawals are tax free as well. Please note that although Roth IRAs can be attractive tax wise, Roth IRAs have rules and limitations.</w:t>
      </w:r>
      <w:r w:rsidR="00090464" w:rsidRPr="00DA7EA8">
        <w:rPr>
          <w:rFonts w:ascii="Times New Roman" w:eastAsia="Times New Roman" w:hAnsi="Times New Roman" w:cs="Times New Roman"/>
          <w:color w:val="0D0D0D" w:themeColor="text1" w:themeTint="F2"/>
        </w:rPr>
        <w:t xml:space="preserve"> </w:t>
      </w:r>
      <w:r w:rsidR="00861CB0" w:rsidRPr="00D556FC">
        <w:rPr>
          <w:rFonts w:ascii="Times New Roman" w:eastAsia="Times New Roman" w:hAnsi="Times New Roman" w:cs="Times New Roman"/>
          <w:color w:val="0D0D0D" w:themeColor="text1" w:themeTint="F2"/>
        </w:rPr>
        <w:t xml:space="preserve">While this article is for informational purposes only and should not be deemed tax advice or an individualized recommendation, we hope that some of these points are helpful to you. </w:t>
      </w:r>
    </w:p>
    <w:p w:rsidR="00861CB0" w:rsidRPr="00D556FC" w:rsidRDefault="00861CB0" w:rsidP="00861CB0">
      <w:pPr>
        <w:spacing w:after="0" w:line="240" w:lineRule="auto"/>
        <w:jc w:val="both"/>
        <w:rPr>
          <w:rFonts w:ascii="Times New Roman" w:eastAsia="Times New Roman" w:hAnsi="Times New Roman" w:cs="Times New Roman"/>
          <w:color w:val="0D0D0D" w:themeColor="text1" w:themeTint="F2"/>
        </w:rPr>
      </w:pPr>
    </w:p>
    <w:p w:rsidR="00090464" w:rsidRPr="00871F67" w:rsidRDefault="00E03368" w:rsidP="00D556FC">
      <w:pPr>
        <w:spacing w:after="0" w:line="240" w:lineRule="auto"/>
        <w:jc w:val="both"/>
        <w:rPr>
          <w:rFonts w:ascii="Times New Roman" w:eastAsia="Times New Roman" w:hAnsi="Times New Roman" w:cs="Times New Roman"/>
          <w:b/>
          <w:color w:val="0D0D0D" w:themeColor="text1" w:themeTint="F2"/>
        </w:rPr>
      </w:pPr>
      <w:r w:rsidRPr="00871F67">
        <w:rPr>
          <w:rFonts w:ascii="Times New Roman" w:eastAsia="Times New Roman" w:hAnsi="Times New Roman" w:cs="Times New Roman"/>
          <w:b/>
          <w:color w:val="0D0D0D" w:themeColor="text1" w:themeTint="F2"/>
        </w:rPr>
        <w:t>We welcome the opportunity to help you map out a strategy that will be best for your situation. To discuss your personal situation call us and schedule an</w:t>
      </w:r>
      <w:r w:rsidR="00667262">
        <w:rPr>
          <w:rFonts w:ascii="Times New Roman" w:eastAsia="Times New Roman" w:hAnsi="Times New Roman" w:cs="Times New Roman"/>
          <w:b/>
          <w:color w:val="0D0D0D" w:themeColor="text1" w:themeTint="F2"/>
        </w:rPr>
        <w:t xml:space="preserve"> </w:t>
      </w:r>
      <w:r w:rsidRPr="00871F67">
        <w:rPr>
          <w:rFonts w:ascii="Times New Roman" w:eastAsia="Times New Roman" w:hAnsi="Times New Roman" w:cs="Times New Roman"/>
          <w:b/>
          <w:color w:val="0D0D0D" w:themeColor="text1" w:themeTint="F2"/>
        </w:rPr>
        <w:t>appointment.</w:t>
      </w:r>
    </w:p>
    <w:bookmarkEnd w:id="1"/>
    <w:p w:rsidR="00D556FC" w:rsidRPr="00D556FC" w:rsidRDefault="00D556FC" w:rsidP="00D556FC">
      <w:pPr>
        <w:spacing w:after="0" w:line="240" w:lineRule="auto"/>
        <w:jc w:val="both"/>
        <w:rPr>
          <w:rFonts w:ascii="Times New Roman" w:eastAsia="Times New Roman" w:hAnsi="Times New Roman" w:cs="Times New Roman"/>
          <w:color w:val="0D0D0D" w:themeColor="text1" w:themeTint="F2"/>
        </w:rPr>
      </w:pPr>
    </w:p>
    <w:p w:rsidR="00B02955" w:rsidRPr="00D556FC" w:rsidRDefault="00861CB0" w:rsidP="00010272">
      <w:pPr>
        <w:framePr w:w="5128" w:wrap="auto" w:hAnchor="text" w:x="6480"/>
        <w:spacing w:line="240" w:lineRule="auto"/>
        <w:jc w:val="both"/>
        <w:rPr>
          <w:rFonts w:ascii="Times New Roman" w:eastAsia="Times New Roman" w:hAnsi="Times New Roman" w:cs="Times New Roman"/>
          <w:b/>
          <w:color w:val="2F5496" w:themeColor="accent5" w:themeShade="BF"/>
          <w:szCs w:val="23"/>
        </w:rPr>
        <w:sectPr w:rsidR="00B02955" w:rsidRPr="00D556FC" w:rsidSect="0083485A">
          <w:type w:val="continuous"/>
          <w:pgSz w:w="12240" w:h="15840"/>
          <w:pgMar w:top="720" w:right="630" w:bottom="720" w:left="720" w:header="720" w:footer="720" w:gutter="0"/>
          <w:cols w:num="2" w:space="720"/>
          <w:docGrid w:linePitch="360"/>
        </w:sectPr>
      </w:pPr>
      <w:r w:rsidRPr="00D556FC">
        <w:rPr>
          <w:rFonts w:ascii="Times New Roman" w:eastAsia="Times New Roman" w:hAnsi="Times New Roman" w:cs="Times New Roman"/>
          <w:color w:val="0D0D0D" w:themeColor="text1" w:themeTint="F2"/>
        </w:rPr>
        <w:t>We enjoy helping clients and welcome the opportunity to help you map out a strategy that will be best for your situation. Saving for retirement has and always will b</w:t>
      </w:r>
      <w:r w:rsidR="0067435D">
        <w:rPr>
          <w:rFonts w:ascii="Times New Roman" w:eastAsia="Times New Roman" w:hAnsi="Times New Roman" w:cs="Times New Roman"/>
          <w:color w:val="0D0D0D" w:themeColor="text1" w:themeTint="F2"/>
        </w:rPr>
        <w:t>e a priority for most investors</w:t>
      </w:r>
      <w:r w:rsidR="00585029" w:rsidRPr="00D556FC">
        <w:rPr>
          <w:rFonts w:ascii="Times New Roman" w:eastAsia="Times New Roman" w:hAnsi="Times New Roman" w:cs="Times New Roman"/>
          <w:color w:val="0D0D0D" w:themeColor="text1" w:themeTint="F2"/>
        </w:rPr>
        <w:t>.</w:t>
      </w:r>
      <w:r w:rsidR="00090464" w:rsidRPr="00090464">
        <w:rPr>
          <w:rFonts w:ascii="Times New Roman" w:eastAsia="Times New Roman" w:hAnsi="Times New Roman" w:cs="Times New Roman"/>
          <w:b/>
          <w:color w:val="0D0D0D" w:themeColor="text1" w:themeTint="F2"/>
          <w:szCs w:val="24"/>
        </w:rPr>
        <w:t xml:space="preserve"> </w:t>
      </w:r>
      <w:r w:rsidR="00090464" w:rsidRPr="00577846">
        <w:rPr>
          <w:rFonts w:ascii="Times New Roman" w:eastAsia="Times New Roman" w:hAnsi="Times New Roman" w:cs="Times New Roman"/>
          <w:b/>
          <w:color w:val="0D0D0D" w:themeColor="text1" w:themeTint="F2"/>
          <w:sz w:val="24"/>
          <w:szCs w:val="24"/>
        </w:rPr>
        <w:t>To discuss your personal situation call us and schedule an appointment.</w:t>
      </w:r>
    </w:p>
    <w:p w:rsidR="006E117F" w:rsidRPr="00E94504" w:rsidRDefault="00BA4351" w:rsidP="006E117F">
      <w:pPr>
        <w:pStyle w:val="NoSpacing"/>
        <w:jc w:val="center"/>
      </w:pPr>
      <w:r>
        <w:rPr>
          <w:color w:val="948A54"/>
          <w:sz w:val="16"/>
          <w:szCs w:val="16"/>
        </w:rPr>
        <w:br/>
      </w:r>
      <w:r w:rsidR="006E117F" w:rsidRPr="00E94504">
        <w:t xml:space="preserve">Chuck Schlapp is a Financial Planner with Superior Financial Management. He is a registered investment advisor affiliated with and also offers securities as a Registered Representative of North Ridge Securities Corp. </w:t>
      </w:r>
    </w:p>
    <w:p w:rsidR="00702529" w:rsidRDefault="006E117F" w:rsidP="006E117F">
      <w:pPr>
        <w:spacing w:line="240" w:lineRule="auto"/>
        <w:jc w:val="center"/>
        <w:rPr>
          <w:color w:val="948A54"/>
          <w:sz w:val="16"/>
          <w:szCs w:val="16"/>
        </w:rPr>
      </w:pPr>
      <w:r w:rsidRPr="00E94504">
        <w:t>1895 Walt Whitman Road, Melville, NY 11747. Tel.: (631) 420-4242 – Member of FINRA/SIPC.</w:t>
      </w:r>
      <w:r>
        <w:rPr>
          <w:color w:val="948A54"/>
          <w:sz w:val="16"/>
          <w:szCs w:val="16"/>
        </w:rPr>
        <w:t xml:space="preserve"> </w:t>
      </w:r>
    </w:p>
    <w:p w:rsidR="00A41B4F" w:rsidRPr="00BA4351" w:rsidRDefault="00A41B4F" w:rsidP="00E75877">
      <w:pPr>
        <w:spacing w:line="240" w:lineRule="auto"/>
        <w:jc w:val="both"/>
        <w:rPr>
          <w:color w:val="948A54"/>
          <w:sz w:val="16"/>
          <w:szCs w:val="16"/>
        </w:rPr>
      </w:pPr>
      <w:r w:rsidRPr="00D2110C">
        <w:rPr>
          <w:color w:val="948A54"/>
          <w:sz w:val="16"/>
          <w:szCs w:val="16"/>
        </w:rPr>
        <w:t>This article is for informational purposes only.  This information is not intended to be a substitute for specific individualized tax, legal or investment planning advice as individual situations will vary. For specific advice about your situation, please consult with a lawyer or financial professional.</w:t>
      </w:r>
      <w:r w:rsidR="007E58E7" w:rsidRPr="003715C2">
        <w:rPr>
          <w:color w:val="948A54"/>
          <w:sz w:val="16"/>
          <w:szCs w:val="16"/>
        </w:rPr>
        <w:t xml:space="preserve"> </w:t>
      </w:r>
      <w:r w:rsidR="003715C2" w:rsidRPr="003715C2">
        <w:rPr>
          <w:color w:val="948A54"/>
          <w:sz w:val="16"/>
          <w:szCs w:val="16"/>
        </w:rPr>
        <w:t>Investors should consult a tax professional before deciding to do a conversion.</w:t>
      </w:r>
    </w:p>
    <w:p w:rsidR="005407E6" w:rsidRDefault="001B2D72" w:rsidP="004C56C5">
      <w:pPr>
        <w:jc w:val="both"/>
        <w:rPr>
          <w:color w:val="948A54"/>
          <w:sz w:val="16"/>
          <w:szCs w:val="16"/>
        </w:rPr>
      </w:pPr>
      <w:r w:rsidRPr="00D2110C">
        <w:rPr>
          <w:color w:val="948A54"/>
          <w:sz w:val="16"/>
          <w:szCs w:val="16"/>
        </w:rPr>
        <w:t>The Roth IRA offers tax deferral on any earnings in the account. Withdrawals from the account may be tax free, as long as they are considered qualified. Limitations and restrictions may apply. Withdrawals prior to age 59 ½ may result in a 10% IRS penalty tax. Future tax laws can change at any time and may impact the benefits of Roth IRAs. Their tax treatment may change.</w:t>
      </w:r>
      <w:r w:rsidR="004C56C5">
        <w:rPr>
          <w:color w:val="948A54"/>
          <w:sz w:val="16"/>
          <w:szCs w:val="16"/>
        </w:rPr>
        <w:t xml:space="preserve">  </w:t>
      </w:r>
      <w:r w:rsidRPr="00D2110C">
        <w:rPr>
          <w:color w:val="948A54"/>
          <w:sz w:val="16"/>
          <w:szCs w:val="16"/>
        </w:rPr>
        <w:t xml:space="preserve">Roth IRA account owners should consider the potential tax ramifications, age and contribution </w:t>
      </w:r>
      <w:r w:rsidR="005407E6">
        <w:rPr>
          <w:color w:val="948A54"/>
          <w:sz w:val="16"/>
          <w:szCs w:val="16"/>
        </w:rPr>
        <w:t>limits in regards to funding a Roth IRA.</w:t>
      </w:r>
    </w:p>
    <w:p w:rsidR="006A66E6" w:rsidRPr="00261D1E" w:rsidRDefault="00A41B4F" w:rsidP="00261D1E">
      <w:pPr>
        <w:jc w:val="both"/>
        <w:rPr>
          <w:color w:val="948A54"/>
          <w:sz w:val="16"/>
          <w:szCs w:val="16"/>
        </w:rPr>
      </w:pPr>
      <w:r w:rsidRPr="00D2110C">
        <w:rPr>
          <w:color w:val="948A54"/>
          <w:sz w:val="16"/>
          <w:szCs w:val="16"/>
        </w:rPr>
        <w:t xml:space="preserve">The views stated in this letter are not necessarily the opinion of </w:t>
      </w:r>
      <w:r w:rsidR="000F5450">
        <w:rPr>
          <w:color w:val="948A54"/>
          <w:sz w:val="16"/>
          <w:szCs w:val="16"/>
        </w:rPr>
        <w:t xml:space="preserve">North Ridge Securities Corp., </w:t>
      </w:r>
      <w:r w:rsidRPr="00D2110C">
        <w:rPr>
          <w:color w:val="948A54"/>
          <w:sz w:val="16"/>
          <w:szCs w:val="16"/>
        </w:rPr>
        <w:t xml:space="preserve">and should not be construed, directly or indirectly, as an offer to buy or sell any securities mentioned herein.  </w:t>
      </w:r>
      <w:r w:rsidR="009B02F6">
        <w:rPr>
          <w:color w:val="948A54"/>
          <w:sz w:val="16"/>
          <w:szCs w:val="16"/>
        </w:rPr>
        <w:t xml:space="preserve">Source: www.irs.gov Reviewed by Keebler &amp; Associates </w:t>
      </w:r>
      <w:r w:rsidR="009B02F6" w:rsidRPr="00702529">
        <w:rPr>
          <w:color w:val="948A54"/>
          <w:sz w:val="16"/>
          <w:szCs w:val="16"/>
        </w:rPr>
        <w:t xml:space="preserve">Contents Provided by </w:t>
      </w:r>
      <w:proofErr w:type="gramStart"/>
      <w:r w:rsidR="009B02F6" w:rsidRPr="00702529">
        <w:rPr>
          <w:color w:val="948A54"/>
          <w:sz w:val="16"/>
          <w:szCs w:val="16"/>
        </w:rPr>
        <w:t>The</w:t>
      </w:r>
      <w:proofErr w:type="gramEnd"/>
      <w:r w:rsidR="009B02F6" w:rsidRPr="00702529">
        <w:rPr>
          <w:color w:val="948A54"/>
          <w:sz w:val="16"/>
          <w:szCs w:val="16"/>
        </w:rPr>
        <w:t xml:space="preserve"> Academy of Prefer</w:t>
      </w:r>
      <w:r w:rsidR="00016F97">
        <w:rPr>
          <w:color w:val="948A54"/>
          <w:sz w:val="16"/>
          <w:szCs w:val="16"/>
        </w:rPr>
        <w:t xml:space="preserve">red Financial Advisors, </w:t>
      </w:r>
      <w:proofErr w:type="spellStart"/>
      <w:r w:rsidR="00016F97">
        <w:rPr>
          <w:color w:val="948A54"/>
          <w:sz w:val="16"/>
          <w:szCs w:val="16"/>
        </w:rPr>
        <w:t>Inc</w:t>
      </w:r>
      <w:proofErr w:type="spellEnd"/>
      <w:r w:rsidR="00016F97">
        <w:rPr>
          <w:color w:val="948A54"/>
          <w:sz w:val="16"/>
          <w:szCs w:val="16"/>
        </w:rPr>
        <w:t xml:space="preserve"> 2018</w:t>
      </w:r>
      <w:r w:rsidR="009B02F6" w:rsidRPr="00702529">
        <w:rPr>
          <w:color w:val="948A54"/>
          <w:sz w:val="16"/>
          <w:szCs w:val="16"/>
        </w:rPr>
        <w:t>©</w:t>
      </w:r>
    </w:p>
    <w:sectPr w:rsidR="006A66E6" w:rsidRPr="00261D1E" w:rsidSect="00D2110C">
      <w:type w:val="continuous"/>
      <w:pgSz w:w="12240" w:h="15840"/>
      <w:pgMar w:top="720" w:right="54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Arial"/>
    <w:charset w:val="00"/>
    <w:family w:val="swiss"/>
    <w:pitch w:val="variable"/>
    <w:sig w:usb0="00000001"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4E5"/>
    <w:multiLevelType w:val="multilevel"/>
    <w:tmpl w:val="9166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553295"/>
    <w:multiLevelType w:val="hybridMultilevel"/>
    <w:tmpl w:val="53FEB70A"/>
    <w:lvl w:ilvl="0" w:tplc="7A0CAEE2">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A19E7"/>
    <w:multiLevelType w:val="hybridMultilevel"/>
    <w:tmpl w:val="D77C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D71DB"/>
    <w:multiLevelType w:val="hybridMultilevel"/>
    <w:tmpl w:val="82FE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A39DE"/>
    <w:multiLevelType w:val="hybridMultilevel"/>
    <w:tmpl w:val="8D883FA8"/>
    <w:lvl w:ilvl="0" w:tplc="5FE07E2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06540"/>
    <w:multiLevelType w:val="hybridMultilevel"/>
    <w:tmpl w:val="5F7C9CF2"/>
    <w:lvl w:ilvl="0" w:tplc="59E05A6C">
      <w:start w:val="1"/>
      <w:numFmt w:val="bullet"/>
      <w:lvlText w:val=""/>
      <w:lvlJc w:val="left"/>
      <w:pPr>
        <w:ind w:left="810" w:hanging="360"/>
      </w:pPr>
      <w:rPr>
        <w:rFonts w:ascii="Wingdings" w:hAnsi="Wingdings" w:hint="default"/>
        <w:b/>
        <w:i w:val="0"/>
        <w:color w:val="548DD4"/>
        <w:sz w:val="26"/>
        <w:szCs w:val="26"/>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nsid w:val="38415471"/>
    <w:multiLevelType w:val="multilevel"/>
    <w:tmpl w:val="CB983872"/>
    <w:lvl w:ilvl="0">
      <w:start w:val="1"/>
      <w:numFmt w:val="bullet"/>
      <w:lvlText w:val=""/>
      <w:lvlJc w:val="left"/>
      <w:pPr>
        <w:tabs>
          <w:tab w:val="num" w:pos="720"/>
        </w:tabs>
        <w:ind w:left="720" w:hanging="360"/>
      </w:pPr>
      <w:rPr>
        <w:rFonts w:ascii="Symbol" w:hAnsi="Symbol" w:hint="default"/>
        <w:color w:val="2F5496" w:themeColor="accent5" w:themeShade="B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A32A8E"/>
    <w:multiLevelType w:val="hybridMultilevel"/>
    <w:tmpl w:val="EB7696A6"/>
    <w:lvl w:ilvl="0" w:tplc="9FC61EEE">
      <w:start w:val="1"/>
      <w:numFmt w:val="decimal"/>
      <w:lvlText w:val="%1."/>
      <w:lvlJc w:val="left"/>
      <w:pPr>
        <w:ind w:left="1140" w:hanging="78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C2932"/>
    <w:multiLevelType w:val="hybridMultilevel"/>
    <w:tmpl w:val="00702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4A768D"/>
    <w:multiLevelType w:val="hybridMultilevel"/>
    <w:tmpl w:val="85E88A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A3C72"/>
    <w:multiLevelType w:val="hybridMultilevel"/>
    <w:tmpl w:val="C81ED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6D252D"/>
    <w:multiLevelType w:val="hybridMultilevel"/>
    <w:tmpl w:val="9AD2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4658C"/>
    <w:multiLevelType w:val="hybridMultilevel"/>
    <w:tmpl w:val="E740252C"/>
    <w:lvl w:ilvl="0" w:tplc="681EC414">
      <w:start w:val="1"/>
      <w:numFmt w:val="decimal"/>
      <w:lvlText w:val="%1."/>
      <w:lvlJc w:val="left"/>
      <w:pPr>
        <w:tabs>
          <w:tab w:val="num" w:pos="720"/>
        </w:tabs>
        <w:ind w:left="720" w:hanging="360"/>
      </w:pPr>
      <w:rPr>
        <w:rFonts w:hint="default"/>
        <w:b/>
        <w:i w:val="0"/>
        <w:color w:val="00660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7"/>
  </w:num>
  <w:num w:numId="4">
    <w:abstractNumId w:val="8"/>
  </w:num>
  <w:num w:numId="5">
    <w:abstractNumId w:val="3"/>
  </w:num>
  <w:num w:numId="6">
    <w:abstractNumId w:val="0"/>
  </w:num>
  <w:num w:numId="7">
    <w:abstractNumId w:val="11"/>
  </w:num>
  <w:num w:numId="8">
    <w:abstractNumId w:val="6"/>
  </w:num>
  <w:num w:numId="9">
    <w:abstractNumId w:val="5"/>
  </w:num>
  <w:num w:numId="10">
    <w:abstractNumId w:val="9"/>
  </w:num>
  <w:num w:numId="11">
    <w:abstractNumId w:val="4"/>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3F"/>
    <w:rsid w:val="00005940"/>
    <w:rsid w:val="00010272"/>
    <w:rsid w:val="00010711"/>
    <w:rsid w:val="00012D5A"/>
    <w:rsid w:val="00016084"/>
    <w:rsid w:val="00016F97"/>
    <w:rsid w:val="0005440F"/>
    <w:rsid w:val="0007161D"/>
    <w:rsid w:val="0007530F"/>
    <w:rsid w:val="000864A9"/>
    <w:rsid w:val="00090464"/>
    <w:rsid w:val="000911ED"/>
    <w:rsid w:val="000922FA"/>
    <w:rsid w:val="000B2556"/>
    <w:rsid w:val="000B70D5"/>
    <w:rsid w:val="000F5450"/>
    <w:rsid w:val="001032BE"/>
    <w:rsid w:val="001863A2"/>
    <w:rsid w:val="001937CB"/>
    <w:rsid w:val="00197FE0"/>
    <w:rsid w:val="001B2D72"/>
    <w:rsid w:val="001C2F21"/>
    <w:rsid w:val="001D1B28"/>
    <w:rsid w:val="001D21E9"/>
    <w:rsid w:val="001D404B"/>
    <w:rsid w:val="001F316B"/>
    <w:rsid w:val="001F332C"/>
    <w:rsid w:val="002043FD"/>
    <w:rsid w:val="00206D2A"/>
    <w:rsid w:val="002227D9"/>
    <w:rsid w:val="00224C52"/>
    <w:rsid w:val="00234734"/>
    <w:rsid w:val="00261D1E"/>
    <w:rsid w:val="00282CCF"/>
    <w:rsid w:val="00297CBA"/>
    <w:rsid w:val="002A131C"/>
    <w:rsid w:val="002A1E14"/>
    <w:rsid w:val="002A7686"/>
    <w:rsid w:val="002B16CB"/>
    <w:rsid w:val="002B5C91"/>
    <w:rsid w:val="002B656E"/>
    <w:rsid w:val="002E2B6C"/>
    <w:rsid w:val="002E6193"/>
    <w:rsid w:val="002F1FDA"/>
    <w:rsid w:val="002F4419"/>
    <w:rsid w:val="003135A3"/>
    <w:rsid w:val="00315236"/>
    <w:rsid w:val="00334E77"/>
    <w:rsid w:val="00340B8C"/>
    <w:rsid w:val="00340F84"/>
    <w:rsid w:val="003545E3"/>
    <w:rsid w:val="0035681C"/>
    <w:rsid w:val="003570DB"/>
    <w:rsid w:val="00362033"/>
    <w:rsid w:val="00364276"/>
    <w:rsid w:val="003658FE"/>
    <w:rsid w:val="003715C2"/>
    <w:rsid w:val="00393AA9"/>
    <w:rsid w:val="003B28B6"/>
    <w:rsid w:val="003C4810"/>
    <w:rsid w:val="003F2D55"/>
    <w:rsid w:val="00444FE0"/>
    <w:rsid w:val="004612E2"/>
    <w:rsid w:val="00487759"/>
    <w:rsid w:val="004C5445"/>
    <w:rsid w:val="004C56C5"/>
    <w:rsid w:val="004D36BB"/>
    <w:rsid w:val="004E49D3"/>
    <w:rsid w:val="00512383"/>
    <w:rsid w:val="00514EF1"/>
    <w:rsid w:val="005229CF"/>
    <w:rsid w:val="005342FC"/>
    <w:rsid w:val="00537542"/>
    <w:rsid w:val="005407E6"/>
    <w:rsid w:val="00566915"/>
    <w:rsid w:val="005752AF"/>
    <w:rsid w:val="00577846"/>
    <w:rsid w:val="00580DFA"/>
    <w:rsid w:val="00585029"/>
    <w:rsid w:val="0058742E"/>
    <w:rsid w:val="00587E34"/>
    <w:rsid w:val="005C16BC"/>
    <w:rsid w:val="005C64B6"/>
    <w:rsid w:val="005D17AA"/>
    <w:rsid w:val="0060658A"/>
    <w:rsid w:val="0061617A"/>
    <w:rsid w:val="00617CEB"/>
    <w:rsid w:val="006209FC"/>
    <w:rsid w:val="0062239E"/>
    <w:rsid w:val="00634B59"/>
    <w:rsid w:val="00656D7E"/>
    <w:rsid w:val="00657F7F"/>
    <w:rsid w:val="00667262"/>
    <w:rsid w:val="0067435D"/>
    <w:rsid w:val="00685D2D"/>
    <w:rsid w:val="006926E4"/>
    <w:rsid w:val="00695351"/>
    <w:rsid w:val="006A3514"/>
    <w:rsid w:val="006A56A6"/>
    <w:rsid w:val="006A66E6"/>
    <w:rsid w:val="006B6CAB"/>
    <w:rsid w:val="006C1327"/>
    <w:rsid w:val="006C6ABF"/>
    <w:rsid w:val="006E117F"/>
    <w:rsid w:val="00702529"/>
    <w:rsid w:val="0070703F"/>
    <w:rsid w:val="0071193E"/>
    <w:rsid w:val="00720090"/>
    <w:rsid w:val="00735005"/>
    <w:rsid w:val="007459F1"/>
    <w:rsid w:val="00751CED"/>
    <w:rsid w:val="00756E7B"/>
    <w:rsid w:val="00770622"/>
    <w:rsid w:val="00776505"/>
    <w:rsid w:val="00776645"/>
    <w:rsid w:val="007C0814"/>
    <w:rsid w:val="007D7628"/>
    <w:rsid w:val="007E58E7"/>
    <w:rsid w:val="007F47A4"/>
    <w:rsid w:val="007F48A3"/>
    <w:rsid w:val="00800657"/>
    <w:rsid w:val="00810F21"/>
    <w:rsid w:val="00826A39"/>
    <w:rsid w:val="0083485A"/>
    <w:rsid w:val="00852152"/>
    <w:rsid w:val="00861CB0"/>
    <w:rsid w:val="00861D7A"/>
    <w:rsid w:val="00865DC8"/>
    <w:rsid w:val="008701BF"/>
    <w:rsid w:val="00871F67"/>
    <w:rsid w:val="00880994"/>
    <w:rsid w:val="00882D1C"/>
    <w:rsid w:val="00884ACB"/>
    <w:rsid w:val="0088552E"/>
    <w:rsid w:val="008877B5"/>
    <w:rsid w:val="008B3FB8"/>
    <w:rsid w:val="008C06D8"/>
    <w:rsid w:val="008C5B30"/>
    <w:rsid w:val="008D00D2"/>
    <w:rsid w:val="008D7060"/>
    <w:rsid w:val="008F25C3"/>
    <w:rsid w:val="00905F2C"/>
    <w:rsid w:val="009149A9"/>
    <w:rsid w:val="00916A8F"/>
    <w:rsid w:val="00937F15"/>
    <w:rsid w:val="009402BA"/>
    <w:rsid w:val="00957A7D"/>
    <w:rsid w:val="00962F4A"/>
    <w:rsid w:val="009762AF"/>
    <w:rsid w:val="00987176"/>
    <w:rsid w:val="00997101"/>
    <w:rsid w:val="009A121F"/>
    <w:rsid w:val="009B02F6"/>
    <w:rsid w:val="009C53F3"/>
    <w:rsid w:val="009C673A"/>
    <w:rsid w:val="009E0CFE"/>
    <w:rsid w:val="009E1CE4"/>
    <w:rsid w:val="009E39C3"/>
    <w:rsid w:val="009F313A"/>
    <w:rsid w:val="00A079E0"/>
    <w:rsid w:val="00A41B4F"/>
    <w:rsid w:val="00A532A7"/>
    <w:rsid w:val="00A8125C"/>
    <w:rsid w:val="00A84F09"/>
    <w:rsid w:val="00A87982"/>
    <w:rsid w:val="00A91542"/>
    <w:rsid w:val="00A92321"/>
    <w:rsid w:val="00AB129C"/>
    <w:rsid w:val="00AC2DA5"/>
    <w:rsid w:val="00AE05B9"/>
    <w:rsid w:val="00AE4FFE"/>
    <w:rsid w:val="00AE6B3D"/>
    <w:rsid w:val="00AF26E1"/>
    <w:rsid w:val="00AF6529"/>
    <w:rsid w:val="00B00D07"/>
    <w:rsid w:val="00B02955"/>
    <w:rsid w:val="00B0444F"/>
    <w:rsid w:val="00B1047C"/>
    <w:rsid w:val="00B30A62"/>
    <w:rsid w:val="00B351BA"/>
    <w:rsid w:val="00B41652"/>
    <w:rsid w:val="00B62E49"/>
    <w:rsid w:val="00B770BB"/>
    <w:rsid w:val="00B83398"/>
    <w:rsid w:val="00B85F41"/>
    <w:rsid w:val="00BA4351"/>
    <w:rsid w:val="00BC3B4E"/>
    <w:rsid w:val="00BF09D1"/>
    <w:rsid w:val="00C16167"/>
    <w:rsid w:val="00C23DE9"/>
    <w:rsid w:val="00C27E86"/>
    <w:rsid w:val="00C42BC9"/>
    <w:rsid w:val="00C609EF"/>
    <w:rsid w:val="00C66344"/>
    <w:rsid w:val="00C902B7"/>
    <w:rsid w:val="00C90E4C"/>
    <w:rsid w:val="00CD18A0"/>
    <w:rsid w:val="00CD317A"/>
    <w:rsid w:val="00CE599B"/>
    <w:rsid w:val="00CE7645"/>
    <w:rsid w:val="00CF28EC"/>
    <w:rsid w:val="00D02B0E"/>
    <w:rsid w:val="00D11B88"/>
    <w:rsid w:val="00D124D4"/>
    <w:rsid w:val="00D2110C"/>
    <w:rsid w:val="00D37D60"/>
    <w:rsid w:val="00D472F5"/>
    <w:rsid w:val="00D556FC"/>
    <w:rsid w:val="00D557BC"/>
    <w:rsid w:val="00D61D35"/>
    <w:rsid w:val="00D84E83"/>
    <w:rsid w:val="00DA7EA8"/>
    <w:rsid w:val="00DB49EC"/>
    <w:rsid w:val="00DB5F3F"/>
    <w:rsid w:val="00DC5DEA"/>
    <w:rsid w:val="00DC6836"/>
    <w:rsid w:val="00DE24AB"/>
    <w:rsid w:val="00DE2A25"/>
    <w:rsid w:val="00DF6295"/>
    <w:rsid w:val="00DF6C63"/>
    <w:rsid w:val="00E03368"/>
    <w:rsid w:val="00E30C65"/>
    <w:rsid w:val="00E31264"/>
    <w:rsid w:val="00E36414"/>
    <w:rsid w:val="00E40FBD"/>
    <w:rsid w:val="00E63EDD"/>
    <w:rsid w:val="00E66067"/>
    <w:rsid w:val="00E67729"/>
    <w:rsid w:val="00E72F2A"/>
    <w:rsid w:val="00E75877"/>
    <w:rsid w:val="00E779C5"/>
    <w:rsid w:val="00E92219"/>
    <w:rsid w:val="00E952B6"/>
    <w:rsid w:val="00EA5C69"/>
    <w:rsid w:val="00EA628F"/>
    <w:rsid w:val="00EA716F"/>
    <w:rsid w:val="00EB7F89"/>
    <w:rsid w:val="00ED1D73"/>
    <w:rsid w:val="00EE0755"/>
    <w:rsid w:val="00EE7929"/>
    <w:rsid w:val="00F31D31"/>
    <w:rsid w:val="00F41955"/>
    <w:rsid w:val="00F47866"/>
    <w:rsid w:val="00F50E5A"/>
    <w:rsid w:val="00F52C3B"/>
    <w:rsid w:val="00F6022A"/>
    <w:rsid w:val="00F70B65"/>
    <w:rsid w:val="00F94CCD"/>
    <w:rsid w:val="00FD4CAA"/>
    <w:rsid w:val="00FE17A5"/>
    <w:rsid w:val="00F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CD"/>
  </w:style>
  <w:style w:type="paragraph" w:styleId="Heading1">
    <w:name w:val="heading 1"/>
    <w:basedOn w:val="Normal"/>
    <w:link w:val="Heading1Char"/>
    <w:uiPriority w:val="9"/>
    <w:qFormat/>
    <w:rsid w:val="00707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7070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03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0703F"/>
  </w:style>
  <w:style w:type="paragraph" w:styleId="NormalWeb">
    <w:name w:val="Normal (Web)"/>
    <w:basedOn w:val="Normal"/>
    <w:uiPriority w:val="99"/>
    <w:unhideWhenUsed/>
    <w:rsid w:val="007070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703F"/>
    <w:rPr>
      <w:b/>
      <w:bCs/>
    </w:rPr>
  </w:style>
  <w:style w:type="character" w:styleId="Emphasis">
    <w:name w:val="Emphasis"/>
    <w:basedOn w:val="DefaultParagraphFont"/>
    <w:uiPriority w:val="20"/>
    <w:qFormat/>
    <w:rsid w:val="0070703F"/>
    <w:rPr>
      <w:i/>
      <w:iCs/>
    </w:rPr>
  </w:style>
  <w:style w:type="character" w:styleId="Hyperlink">
    <w:name w:val="Hyperlink"/>
    <w:basedOn w:val="DefaultParagraphFont"/>
    <w:uiPriority w:val="99"/>
    <w:unhideWhenUsed/>
    <w:rsid w:val="0070703F"/>
    <w:rPr>
      <w:color w:val="0000FF"/>
      <w:u w:val="single"/>
    </w:rPr>
  </w:style>
  <w:style w:type="paragraph" w:styleId="ListParagraph">
    <w:name w:val="List Paragraph"/>
    <w:basedOn w:val="Normal"/>
    <w:uiPriority w:val="34"/>
    <w:qFormat/>
    <w:rsid w:val="0070703F"/>
    <w:pPr>
      <w:ind w:left="720"/>
      <w:contextualSpacing/>
    </w:pPr>
  </w:style>
  <w:style w:type="character" w:customStyle="1" w:styleId="Heading3Char">
    <w:name w:val="Heading 3 Char"/>
    <w:basedOn w:val="DefaultParagraphFont"/>
    <w:link w:val="Heading3"/>
    <w:uiPriority w:val="9"/>
    <w:rsid w:val="0070703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7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9402B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er">
    <w:name w:val="footer"/>
    <w:basedOn w:val="Normal"/>
    <w:link w:val="FooterChar"/>
    <w:uiPriority w:val="99"/>
    <w:unhideWhenUsed/>
    <w:rsid w:val="002B5C9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B5C91"/>
    <w:rPr>
      <w:rFonts w:eastAsiaTheme="minorEastAsia"/>
    </w:rPr>
  </w:style>
  <w:style w:type="paragraph" w:styleId="BalloonText">
    <w:name w:val="Balloon Text"/>
    <w:basedOn w:val="Normal"/>
    <w:link w:val="BalloonTextChar"/>
    <w:uiPriority w:val="99"/>
    <w:semiHidden/>
    <w:unhideWhenUsed/>
    <w:rsid w:val="002B5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91"/>
    <w:rPr>
      <w:rFonts w:ascii="Segoe UI" w:hAnsi="Segoe UI" w:cs="Segoe UI"/>
      <w:sz w:val="18"/>
      <w:szCs w:val="18"/>
    </w:rPr>
  </w:style>
  <w:style w:type="character" w:customStyle="1" w:styleId="UnresolvedMention1">
    <w:name w:val="Unresolved Mention1"/>
    <w:basedOn w:val="DefaultParagraphFont"/>
    <w:uiPriority w:val="99"/>
    <w:semiHidden/>
    <w:unhideWhenUsed/>
    <w:rsid w:val="00810F21"/>
    <w:rPr>
      <w:color w:val="605E5C"/>
      <w:shd w:val="clear" w:color="auto" w:fill="E1DFDD"/>
    </w:rPr>
  </w:style>
  <w:style w:type="paragraph" w:styleId="NoSpacing">
    <w:name w:val="No Spacing"/>
    <w:uiPriority w:val="99"/>
    <w:qFormat/>
    <w:rsid w:val="006E117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CD"/>
  </w:style>
  <w:style w:type="paragraph" w:styleId="Heading1">
    <w:name w:val="heading 1"/>
    <w:basedOn w:val="Normal"/>
    <w:link w:val="Heading1Char"/>
    <w:uiPriority w:val="9"/>
    <w:qFormat/>
    <w:rsid w:val="00707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7070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03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0703F"/>
  </w:style>
  <w:style w:type="paragraph" w:styleId="NormalWeb">
    <w:name w:val="Normal (Web)"/>
    <w:basedOn w:val="Normal"/>
    <w:uiPriority w:val="99"/>
    <w:unhideWhenUsed/>
    <w:rsid w:val="007070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703F"/>
    <w:rPr>
      <w:b/>
      <w:bCs/>
    </w:rPr>
  </w:style>
  <w:style w:type="character" w:styleId="Emphasis">
    <w:name w:val="Emphasis"/>
    <w:basedOn w:val="DefaultParagraphFont"/>
    <w:uiPriority w:val="20"/>
    <w:qFormat/>
    <w:rsid w:val="0070703F"/>
    <w:rPr>
      <w:i/>
      <w:iCs/>
    </w:rPr>
  </w:style>
  <w:style w:type="character" w:styleId="Hyperlink">
    <w:name w:val="Hyperlink"/>
    <w:basedOn w:val="DefaultParagraphFont"/>
    <w:uiPriority w:val="99"/>
    <w:unhideWhenUsed/>
    <w:rsid w:val="0070703F"/>
    <w:rPr>
      <w:color w:val="0000FF"/>
      <w:u w:val="single"/>
    </w:rPr>
  </w:style>
  <w:style w:type="paragraph" w:styleId="ListParagraph">
    <w:name w:val="List Paragraph"/>
    <w:basedOn w:val="Normal"/>
    <w:uiPriority w:val="34"/>
    <w:qFormat/>
    <w:rsid w:val="0070703F"/>
    <w:pPr>
      <w:ind w:left="720"/>
      <w:contextualSpacing/>
    </w:pPr>
  </w:style>
  <w:style w:type="character" w:customStyle="1" w:styleId="Heading3Char">
    <w:name w:val="Heading 3 Char"/>
    <w:basedOn w:val="DefaultParagraphFont"/>
    <w:link w:val="Heading3"/>
    <w:uiPriority w:val="9"/>
    <w:rsid w:val="0070703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7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9402B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er">
    <w:name w:val="footer"/>
    <w:basedOn w:val="Normal"/>
    <w:link w:val="FooterChar"/>
    <w:uiPriority w:val="99"/>
    <w:unhideWhenUsed/>
    <w:rsid w:val="002B5C9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B5C91"/>
    <w:rPr>
      <w:rFonts w:eastAsiaTheme="minorEastAsia"/>
    </w:rPr>
  </w:style>
  <w:style w:type="paragraph" w:styleId="BalloonText">
    <w:name w:val="Balloon Text"/>
    <w:basedOn w:val="Normal"/>
    <w:link w:val="BalloonTextChar"/>
    <w:uiPriority w:val="99"/>
    <w:semiHidden/>
    <w:unhideWhenUsed/>
    <w:rsid w:val="002B5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91"/>
    <w:rPr>
      <w:rFonts w:ascii="Segoe UI" w:hAnsi="Segoe UI" w:cs="Segoe UI"/>
      <w:sz w:val="18"/>
      <w:szCs w:val="18"/>
    </w:rPr>
  </w:style>
  <w:style w:type="character" w:customStyle="1" w:styleId="UnresolvedMention1">
    <w:name w:val="Unresolved Mention1"/>
    <w:basedOn w:val="DefaultParagraphFont"/>
    <w:uiPriority w:val="99"/>
    <w:semiHidden/>
    <w:unhideWhenUsed/>
    <w:rsid w:val="00810F21"/>
    <w:rPr>
      <w:color w:val="605E5C"/>
      <w:shd w:val="clear" w:color="auto" w:fill="E1DFDD"/>
    </w:rPr>
  </w:style>
  <w:style w:type="paragraph" w:styleId="NoSpacing">
    <w:name w:val="No Spacing"/>
    <w:uiPriority w:val="99"/>
    <w:qFormat/>
    <w:rsid w:val="006E117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4346">
      <w:bodyDiv w:val="1"/>
      <w:marLeft w:val="0"/>
      <w:marRight w:val="0"/>
      <w:marTop w:val="0"/>
      <w:marBottom w:val="0"/>
      <w:divBdr>
        <w:top w:val="none" w:sz="0" w:space="0" w:color="auto"/>
        <w:left w:val="none" w:sz="0" w:space="0" w:color="auto"/>
        <w:bottom w:val="none" w:sz="0" w:space="0" w:color="auto"/>
        <w:right w:val="none" w:sz="0" w:space="0" w:color="auto"/>
      </w:divBdr>
    </w:div>
    <w:div w:id="99380195">
      <w:bodyDiv w:val="1"/>
      <w:marLeft w:val="0"/>
      <w:marRight w:val="0"/>
      <w:marTop w:val="0"/>
      <w:marBottom w:val="0"/>
      <w:divBdr>
        <w:top w:val="none" w:sz="0" w:space="0" w:color="auto"/>
        <w:left w:val="none" w:sz="0" w:space="0" w:color="auto"/>
        <w:bottom w:val="none" w:sz="0" w:space="0" w:color="auto"/>
        <w:right w:val="none" w:sz="0" w:space="0" w:color="auto"/>
      </w:divBdr>
    </w:div>
    <w:div w:id="409350828">
      <w:bodyDiv w:val="1"/>
      <w:marLeft w:val="0"/>
      <w:marRight w:val="0"/>
      <w:marTop w:val="0"/>
      <w:marBottom w:val="0"/>
      <w:divBdr>
        <w:top w:val="none" w:sz="0" w:space="0" w:color="auto"/>
        <w:left w:val="none" w:sz="0" w:space="0" w:color="auto"/>
        <w:bottom w:val="none" w:sz="0" w:space="0" w:color="auto"/>
        <w:right w:val="none" w:sz="0" w:space="0" w:color="auto"/>
      </w:divBdr>
    </w:div>
    <w:div w:id="415371740">
      <w:bodyDiv w:val="1"/>
      <w:marLeft w:val="0"/>
      <w:marRight w:val="0"/>
      <w:marTop w:val="0"/>
      <w:marBottom w:val="0"/>
      <w:divBdr>
        <w:top w:val="none" w:sz="0" w:space="0" w:color="auto"/>
        <w:left w:val="none" w:sz="0" w:space="0" w:color="auto"/>
        <w:bottom w:val="none" w:sz="0" w:space="0" w:color="auto"/>
        <w:right w:val="none" w:sz="0" w:space="0" w:color="auto"/>
      </w:divBdr>
    </w:div>
    <w:div w:id="442186798">
      <w:bodyDiv w:val="1"/>
      <w:marLeft w:val="0"/>
      <w:marRight w:val="0"/>
      <w:marTop w:val="0"/>
      <w:marBottom w:val="0"/>
      <w:divBdr>
        <w:top w:val="none" w:sz="0" w:space="0" w:color="auto"/>
        <w:left w:val="none" w:sz="0" w:space="0" w:color="auto"/>
        <w:bottom w:val="none" w:sz="0" w:space="0" w:color="auto"/>
        <w:right w:val="none" w:sz="0" w:space="0" w:color="auto"/>
      </w:divBdr>
    </w:div>
    <w:div w:id="522137889">
      <w:bodyDiv w:val="1"/>
      <w:marLeft w:val="0"/>
      <w:marRight w:val="0"/>
      <w:marTop w:val="0"/>
      <w:marBottom w:val="0"/>
      <w:divBdr>
        <w:top w:val="none" w:sz="0" w:space="0" w:color="auto"/>
        <w:left w:val="none" w:sz="0" w:space="0" w:color="auto"/>
        <w:bottom w:val="none" w:sz="0" w:space="0" w:color="auto"/>
        <w:right w:val="none" w:sz="0" w:space="0" w:color="auto"/>
      </w:divBdr>
    </w:div>
    <w:div w:id="571546264">
      <w:bodyDiv w:val="1"/>
      <w:marLeft w:val="0"/>
      <w:marRight w:val="0"/>
      <w:marTop w:val="0"/>
      <w:marBottom w:val="0"/>
      <w:divBdr>
        <w:top w:val="none" w:sz="0" w:space="0" w:color="auto"/>
        <w:left w:val="none" w:sz="0" w:space="0" w:color="auto"/>
        <w:bottom w:val="none" w:sz="0" w:space="0" w:color="auto"/>
        <w:right w:val="none" w:sz="0" w:space="0" w:color="auto"/>
      </w:divBdr>
    </w:div>
    <w:div w:id="598611083">
      <w:bodyDiv w:val="1"/>
      <w:marLeft w:val="0"/>
      <w:marRight w:val="0"/>
      <w:marTop w:val="0"/>
      <w:marBottom w:val="0"/>
      <w:divBdr>
        <w:top w:val="none" w:sz="0" w:space="0" w:color="auto"/>
        <w:left w:val="none" w:sz="0" w:space="0" w:color="auto"/>
        <w:bottom w:val="none" w:sz="0" w:space="0" w:color="auto"/>
        <w:right w:val="none" w:sz="0" w:space="0" w:color="auto"/>
      </w:divBdr>
    </w:div>
    <w:div w:id="670916930">
      <w:bodyDiv w:val="1"/>
      <w:marLeft w:val="0"/>
      <w:marRight w:val="0"/>
      <w:marTop w:val="0"/>
      <w:marBottom w:val="0"/>
      <w:divBdr>
        <w:top w:val="none" w:sz="0" w:space="0" w:color="auto"/>
        <w:left w:val="none" w:sz="0" w:space="0" w:color="auto"/>
        <w:bottom w:val="none" w:sz="0" w:space="0" w:color="auto"/>
        <w:right w:val="none" w:sz="0" w:space="0" w:color="auto"/>
      </w:divBdr>
    </w:div>
    <w:div w:id="718866489">
      <w:bodyDiv w:val="1"/>
      <w:marLeft w:val="0"/>
      <w:marRight w:val="0"/>
      <w:marTop w:val="0"/>
      <w:marBottom w:val="0"/>
      <w:divBdr>
        <w:top w:val="none" w:sz="0" w:space="0" w:color="auto"/>
        <w:left w:val="none" w:sz="0" w:space="0" w:color="auto"/>
        <w:bottom w:val="none" w:sz="0" w:space="0" w:color="auto"/>
        <w:right w:val="none" w:sz="0" w:space="0" w:color="auto"/>
      </w:divBdr>
    </w:div>
    <w:div w:id="743643134">
      <w:bodyDiv w:val="1"/>
      <w:marLeft w:val="0"/>
      <w:marRight w:val="0"/>
      <w:marTop w:val="0"/>
      <w:marBottom w:val="0"/>
      <w:divBdr>
        <w:top w:val="none" w:sz="0" w:space="0" w:color="auto"/>
        <w:left w:val="none" w:sz="0" w:space="0" w:color="auto"/>
        <w:bottom w:val="none" w:sz="0" w:space="0" w:color="auto"/>
        <w:right w:val="none" w:sz="0" w:space="0" w:color="auto"/>
      </w:divBdr>
    </w:div>
    <w:div w:id="796264400">
      <w:bodyDiv w:val="1"/>
      <w:marLeft w:val="0"/>
      <w:marRight w:val="0"/>
      <w:marTop w:val="0"/>
      <w:marBottom w:val="0"/>
      <w:divBdr>
        <w:top w:val="none" w:sz="0" w:space="0" w:color="auto"/>
        <w:left w:val="none" w:sz="0" w:space="0" w:color="auto"/>
        <w:bottom w:val="none" w:sz="0" w:space="0" w:color="auto"/>
        <w:right w:val="none" w:sz="0" w:space="0" w:color="auto"/>
      </w:divBdr>
    </w:div>
    <w:div w:id="935286570">
      <w:bodyDiv w:val="1"/>
      <w:marLeft w:val="0"/>
      <w:marRight w:val="0"/>
      <w:marTop w:val="0"/>
      <w:marBottom w:val="0"/>
      <w:divBdr>
        <w:top w:val="none" w:sz="0" w:space="0" w:color="auto"/>
        <w:left w:val="none" w:sz="0" w:space="0" w:color="auto"/>
        <w:bottom w:val="none" w:sz="0" w:space="0" w:color="auto"/>
        <w:right w:val="none" w:sz="0" w:space="0" w:color="auto"/>
      </w:divBdr>
    </w:div>
    <w:div w:id="971905102">
      <w:bodyDiv w:val="1"/>
      <w:marLeft w:val="0"/>
      <w:marRight w:val="0"/>
      <w:marTop w:val="0"/>
      <w:marBottom w:val="0"/>
      <w:divBdr>
        <w:top w:val="none" w:sz="0" w:space="0" w:color="auto"/>
        <w:left w:val="none" w:sz="0" w:space="0" w:color="auto"/>
        <w:bottom w:val="none" w:sz="0" w:space="0" w:color="auto"/>
        <w:right w:val="none" w:sz="0" w:space="0" w:color="auto"/>
      </w:divBdr>
    </w:div>
    <w:div w:id="991720490">
      <w:bodyDiv w:val="1"/>
      <w:marLeft w:val="0"/>
      <w:marRight w:val="0"/>
      <w:marTop w:val="0"/>
      <w:marBottom w:val="0"/>
      <w:divBdr>
        <w:top w:val="none" w:sz="0" w:space="0" w:color="auto"/>
        <w:left w:val="none" w:sz="0" w:space="0" w:color="auto"/>
        <w:bottom w:val="none" w:sz="0" w:space="0" w:color="auto"/>
        <w:right w:val="none" w:sz="0" w:space="0" w:color="auto"/>
      </w:divBdr>
    </w:div>
    <w:div w:id="1027605760">
      <w:bodyDiv w:val="1"/>
      <w:marLeft w:val="0"/>
      <w:marRight w:val="0"/>
      <w:marTop w:val="0"/>
      <w:marBottom w:val="0"/>
      <w:divBdr>
        <w:top w:val="none" w:sz="0" w:space="0" w:color="auto"/>
        <w:left w:val="none" w:sz="0" w:space="0" w:color="auto"/>
        <w:bottom w:val="none" w:sz="0" w:space="0" w:color="auto"/>
        <w:right w:val="none" w:sz="0" w:space="0" w:color="auto"/>
      </w:divBdr>
    </w:div>
    <w:div w:id="1095398793">
      <w:bodyDiv w:val="1"/>
      <w:marLeft w:val="0"/>
      <w:marRight w:val="0"/>
      <w:marTop w:val="0"/>
      <w:marBottom w:val="0"/>
      <w:divBdr>
        <w:top w:val="none" w:sz="0" w:space="0" w:color="auto"/>
        <w:left w:val="none" w:sz="0" w:space="0" w:color="auto"/>
        <w:bottom w:val="none" w:sz="0" w:space="0" w:color="auto"/>
        <w:right w:val="none" w:sz="0" w:space="0" w:color="auto"/>
      </w:divBdr>
    </w:div>
    <w:div w:id="1110588332">
      <w:bodyDiv w:val="1"/>
      <w:marLeft w:val="0"/>
      <w:marRight w:val="0"/>
      <w:marTop w:val="0"/>
      <w:marBottom w:val="0"/>
      <w:divBdr>
        <w:top w:val="none" w:sz="0" w:space="0" w:color="auto"/>
        <w:left w:val="none" w:sz="0" w:space="0" w:color="auto"/>
        <w:bottom w:val="none" w:sz="0" w:space="0" w:color="auto"/>
        <w:right w:val="none" w:sz="0" w:space="0" w:color="auto"/>
      </w:divBdr>
    </w:div>
    <w:div w:id="1419712594">
      <w:bodyDiv w:val="1"/>
      <w:marLeft w:val="0"/>
      <w:marRight w:val="0"/>
      <w:marTop w:val="0"/>
      <w:marBottom w:val="0"/>
      <w:divBdr>
        <w:top w:val="none" w:sz="0" w:space="0" w:color="auto"/>
        <w:left w:val="none" w:sz="0" w:space="0" w:color="auto"/>
        <w:bottom w:val="none" w:sz="0" w:space="0" w:color="auto"/>
        <w:right w:val="none" w:sz="0" w:space="0" w:color="auto"/>
      </w:divBdr>
    </w:div>
    <w:div w:id="1512140757">
      <w:bodyDiv w:val="1"/>
      <w:marLeft w:val="0"/>
      <w:marRight w:val="0"/>
      <w:marTop w:val="0"/>
      <w:marBottom w:val="0"/>
      <w:divBdr>
        <w:top w:val="none" w:sz="0" w:space="0" w:color="auto"/>
        <w:left w:val="none" w:sz="0" w:space="0" w:color="auto"/>
        <w:bottom w:val="none" w:sz="0" w:space="0" w:color="auto"/>
        <w:right w:val="none" w:sz="0" w:space="0" w:color="auto"/>
      </w:divBdr>
      <w:divsChild>
        <w:div w:id="2007198128">
          <w:marLeft w:val="0"/>
          <w:marRight w:val="0"/>
          <w:marTop w:val="0"/>
          <w:marBottom w:val="0"/>
          <w:divBdr>
            <w:top w:val="none" w:sz="0" w:space="0" w:color="auto"/>
            <w:left w:val="none" w:sz="0" w:space="0" w:color="auto"/>
            <w:bottom w:val="none" w:sz="0" w:space="0" w:color="auto"/>
            <w:right w:val="none" w:sz="0" w:space="0" w:color="auto"/>
          </w:divBdr>
          <w:divsChild>
            <w:div w:id="2121758251">
              <w:marLeft w:val="0"/>
              <w:marRight w:val="0"/>
              <w:marTop w:val="0"/>
              <w:marBottom w:val="0"/>
              <w:divBdr>
                <w:top w:val="none" w:sz="0" w:space="0" w:color="auto"/>
                <w:left w:val="none" w:sz="0" w:space="0" w:color="auto"/>
                <w:bottom w:val="none" w:sz="0" w:space="0" w:color="auto"/>
                <w:right w:val="none" w:sz="0" w:space="0" w:color="auto"/>
              </w:divBdr>
              <w:divsChild>
                <w:div w:id="1922715396">
                  <w:marLeft w:val="0"/>
                  <w:marRight w:val="0"/>
                  <w:marTop w:val="0"/>
                  <w:marBottom w:val="103"/>
                  <w:divBdr>
                    <w:top w:val="none" w:sz="0" w:space="0" w:color="auto"/>
                    <w:left w:val="none" w:sz="0" w:space="0" w:color="auto"/>
                    <w:bottom w:val="none" w:sz="0" w:space="0" w:color="auto"/>
                    <w:right w:val="none" w:sz="0" w:space="0" w:color="auto"/>
                  </w:divBdr>
                </w:div>
              </w:divsChild>
            </w:div>
          </w:divsChild>
        </w:div>
        <w:div w:id="72120187">
          <w:marLeft w:val="0"/>
          <w:marRight w:val="0"/>
          <w:marTop w:val="0"/>
          <w:marBottom w:val="0"/>
          <w:divBdr>
            <w:top w:val="none" w:sz="0" w:space="0" w:color="auto"/>
            <w:left w:val="none" w:sz="0" w:space="0" w:color="auto"/>
            <w:bottom w:val="none" w:sz="0" w:space="0" w:color="auto"/>
            <w:right w:val="none" w:sz="0" w:space="0" w:color="auto"/>
          </w:divBdr>
          <w:divsChild>
            <w:div w:id="1760710428">
              <w:marLeft w:val="0"/>
              <w:marRight w:val="0"/>
              <w:marTop w:val="0"/>
              <w:marBottom w:val="0"/>
              <w:divBdr>
                <w:top w:val="none" w:sz="0" w:space="0" w:color="auto"/>
                <w:left w:val="none" w:sz="0" w:space="0" w:color="auto"/>
                <w:bottom w:val="none" w:sz="0" w:space="0" w:color="auto"/>
                <w:right w:val="none" w:sz="0" w:space="0" w:color="auto"/>
              </w:divBdr>
              <w:divsChild>
                <w:div w:id="1055355411">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 w:id="1519662952">
      <w:bodyDiv w:val="1"/>
      <w:marLeft w:val="0"/>
      <w:marRight w:val="0"/>
      <w:marTop w:val="0"/>
      <w:marBottom w:val="0"/>
      <w:divBdr>
        <w:top w:val="none" w:sz="0" w:space="0" w:color="auto"/>
        <w:left w:val="none" w:sz="0" w:space="0" w:color="auto"/>
        <w:bottom w:val="none" w:sz="0" w:space="0" w:color="auto"/>
        <w:right w:val="none" w:sz="0" w:space="0" w:color="auto"/>
      </w:divBdr>
    </w:div>
    <w:div w:id="1572496529">
      <w:bodyDiv w:val="1"/>
      <w:marLeft w:val="0"/>
      <w:marRight w:val="0"/>
      <w:marTop w:val="0"/>
      <w:marBottom w:val="0"/>
      <w:divBdr>
        <w:top w:val="none" w:sz="0" w:space="0" w:color="auto"/>
        <w:left w:val="none" w:sz="0" w:space="0" w:color="auto"/>
        <w:bottom w:val="none" w:sz="0" w:space="0" w:color="auto"/>
        <w:right w:val="none" w:sz="0" w:space="0" w:color="auto"/>
      </w:divBdr>
    </w:div>
    <w:div w:id="1630427732">
      <w:bodyDiv w:val="1"/>
      <w:marLeft w:val="0"/>
      <w:marRight w:val="0"/>
      <w:marTop w:val="0"/>
      <w:marBottom w:val="0"/>
      <w:divBdr>
        <w:top w:val="none" w:sz="0" w:space="0" w:color="auto"/>
        <w:left w:val="none" w:sz="0" w:space="0" w:color="auto"/>
        <w:bottom w:val="none" w:sz="0" w:space="0" w:color="auto"/>
        <w:right w:val="none" w:sz="0" w:space="0" w:color="auto"/>
      </w:divBdr>
    </w:div>
    <w:div w:id="2000426171">
      <w:bodyDiv w:val="1"/>
      <w:marLeft w:val="0"/>
      <w:marRight w:val="0"/>
      <w:marTop w:val="0"/>
      <w:marBottom w:val="0"/>
      <w:divBdr>
        <w:top w:val="none" w:sz="0" w:space="0" w:color="auto"/>
        <w:left w:val="none" w:sz="0" w:space="0" w:color="auto"/>
        <w:bottom w:val="none" w:sz="0" w:space="0" w:color="auto"/>
        <w:right w:val="none" w:sz="0" w:space="0" w:color="auto"/>
      </w:divBdr>
    </w:div>
    <w:div w:id="2024356422">
      <w:bodyDiv w:val="1"/>
      <w:marLeft w:val="0"/>
      <w:marRight w:val="0"/>
      <w:marTop w:val="0"/>
      <w:marBottom w:val="0"/>
      <w:divBdr>
        <w:top w:val="none" w:sz="0" w:space="0" w:color="auto"/>
        <w:left w:val="none" w:sz="0" w:space="0" w:color="auto"/>
        <w:bottom w:val="none" w:sz="0" w:space="0" w:color="auto"/>
        <w:right w:val="none" w:sz="0" w:space="0" w:color="auto"/>
      </w:divBdr>
    </w:div>
    <w:div w:id="2086105078">
      <w:bodyDiv w:val="1"/>
      <w:marLeft w:val="0"/>
      <w:marRight w:val="0"/>
      <w:marTop w:val="0"/>
      <w:marBottom w:val="0"/>
      <w:divBdr>
        <w:top w:val="none" w:sz="0" w:space="0" w:color="auto"/>
        <w:left w:val="none" w:sz="0" w:space="0" w:color="auto"/>
        <w:bottom w:val="none" w:sz="0" w:space="0" w:color="auto"/>
        <w:right w:val="none" w:sz="0" w:space="0" w:color="auto"/>
      </w:divBdr>
    </w:div>
    <w:div w:id="2099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01585-EB60-4ED0-B63E-7400F5B3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Allard</dc:creator>
  <cp:lastModifiedBy>CLSCFP</cp:lastModifiedBy>
  <cp:revision>2</cp:revision>
  <cp:lastPrinted>2018-06-01T18:01:00Z</cp:lastPrinted>
  <dcterms:created xsi:type="dcterms:W3CDTF">2018-08-07T18:13:00Z</dcterms:created>
  <dcterms:modified xsi:type="dcterms:W3CDTF">2018-08-07T18:13:00Z</dcterms:modified>
</cp:coreProperties>
</file>