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2BA41" w14:textId="41639001" w:rsidR="00AE4192" w:rsidRPr="006E54E9" w:rsidRDefault="008A3FE8" w:rsidP="004B6D62">
      <w:pPr>
        <w:pStyle w:val="NoSpacing"/>
        <w:spacing w:before="40" w:after="240" w:line="276" w:lineRule="auto"/>
        <w:ind w:left="-180" w:right="-90"/>
        <w:rPr>
          <w:rFonts w:asciiTheme="minorHAnsi" w:hAnsiTheme="minorHAnsi"/>
          <w:b/>
          <w:color w:val="2F5496" w:themeColor="accent1" w:themeShade="BF"/>
          <w:sz w:val="28"/>
          <w:szCs w:val="23"/>
        </w:rPr>
      </w:pPr>
      <w:r>
        <w:rPr>
          <w:b/>
          <w:i/>
          <w:noProof/>
          <w:color w:val="0033CC"/>
          <w:sz w:val="18"/>
          <w:szCs w:val="18"/>
        </w:rPr>
        <w:drawing>
          <wp:anchor distT="0" distB="0" distL="114300" distR="114300" simplePos="0" relativeHeight="251698176" behindDoc="0" locked="0" layoutInCell="1" allowOverlap="1" wp14:anchorId="2076C64A" wp14:editId="6F45A249">
            <wp:simplePos x="0" y="0"/>
            <wp:positionH relativeFrom="margin">
              <wp:posOffset>4065905</wp:posOffset>
            </wp:positionH>
            <wp:positionV relativeFrom="margin">
              <wp:posOffset>-54610</wp:posOffset>
            </wp:positionV>
            <wp:extent cx="2202180" cy="1089660"/>
            <wp:effectExtent l="0" t="0" r="762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_JPG_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2180" cy="1089660"/>
                    </a:xfrm>
                    <a:prstGeom prst="rect">
                      <a:avLst/>
                    </a:prstGeom>
                  </pic:spPr>
                </pic:pic>
              </a:graphicData>
            </a:graphic>
            <wp14:sizeRelH relativeFrom="margin">
              <wp14:pctWidth>0</wp14:pctWidth>
            </wp14:sizeRelH>
            <wp14:sizeRelV relativeFrom="margin">
              <wp14:pctHeight>0</wp14:pctHeight>
            </wp14:sizeRelV>
          </wp:anchor>
        </w:drawing>
      </w:r>
      <w:r>
        <w:rPr>
          <w:b/>
          <w:noProof/>
          <w:color w:val="2F5496"/>
          <w:sz w:val="48"/>
          <w:szCs w:val="48"/>
        </w:rPr>
        <w:drawing>
          <wp:anchor distT="0" distB="0" distL="114300" distR="114300" simplePos="0" relativeHeight="251696128" behindDoc="0" locked="0" layoutInCell="1" allowOverlap="1" wp14:anchorId="728767A1" wp14:editId="6B741DC2">
            <wp:simplePos x="0" y="0"/>
            <wp:positionH relativeFrom="margin">
              <wp:posOffset>58420</wp:posOffset>
            </wp:positionH>
            <wp:positionV relativeFrom="margin">
              <wp:posOffset>-85725</wp:posOffset>
            </wp:positionV>
            <wp:extent cx="849630" cy="1186815"/>
            <wp:effectExtent l="0" t="0" r="7620" b="0"/>
            <wp:wrapSquare wrapText="bothSides"/>
            <wp:docPr id="1" name="Picture 1" descr="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9630" cy="1186815"/>
                    </a:xfrm>
                    <a:prstGeom prst="rect">
                      <a:avLst/>
                    </a:prstGeom>
                    <a:noFill/>
                    <a:ln>
                      <a:noFill/>
                    </a:ln>
                  </pic:spPr>
                </pic:pic>
              </a:graphicData>
            </a:graphic>
            <wp14:sizeRelH relativeFrom="page">
              <wp14:pctWidth>0</wp14:pctWidth>
            </wp14:sizeRelH>
            <wp14:sizeRelV relativeFrom="page">
              <wp14:pctHeight>0</wp14:pctHeight>
            </wp14:sizeRelV>
          </wp:anchor>
        </w:drawing>
      </w:r>
      <w:r w:rsidR="00AE4192" w:rsidRPr="006E54E9">
        <w:rPr>
          <w:rFonts w:asciiTheme="minorHAnsi" w:hAnsiTheme="minorHAnsi"/>
          <w:b/>
          <w:color w:val="2F5496" w:themeColor="accent1" w:themeShade="BF"/>
          <w:sz w:val="40"/>
          <w:szCs w:val="23"/>
        </w:rPr>
        <w:t>The Rise of Interest Rates:</w:t>
      </w:r>
      <w:r w:rsidRPr="008A3FE8">
        <w:rPr>
          <w:b/>
          <w:i/>
          <w:noProof/>
          <w:color w:val="0033CC"/>
          <w:sz w:val="18"/>
          <w:szCs w:val="18"/>
        </w:rPr>
        <w:t xml:space="preserve"> </w:t>
      </w:r>
      <w:r w:rsidR="00AE4192" w:rsidRPr="006E54E9">
        <w:rPr>
          <w:rFonts w:asciiTheme="minorHAnsi" w:hAnsiTheme="minorHAnsi"/>
          <w:b/>
          <w:color w:val="2F5496" w:themeColor="accent1" w:themeShade="BF"/>
          <w:sz w:val="28"/>
          <w:szCs w:val="23"/>
        </w:rPr>
        <w:br/>
      </w:r>
      <w:r w:rsidR="00AE4192" w:rsidRPr="006E54E9">
        <w:rPr>
          <w:rFonts w:asciiTheme="minorHAnsi" w:hAnsiTheme="minorHAnsi"/>
          <w:color w:val="2F5496" w:themeColor="accent1" w:themeShade="BF"/>
          <w:sz w:val="36"/>
          <w:szCs w:val="23"/>
        </w:rPr>
        <w:t>An Investor’s Perspective</w:t>
      </w:r>
      <w:r w:rsidR="00380E61">
        <w:rPr>
          <w:rFonts w:asciiTheme="minorHAnsi" w:hAnsiTheme="minorHAnsi"/>
          <w:color w:val="2F5496" w:themeColor="accent1" w:themeShade="BF"/>
          <w:sz w:val="36"/>
          <w:szCs w:val="23"/>
        </w:rPr>
        <w:tab/>
      </w:r>
    </w:p>
    <w:p w14:paraId="006562D3" w14:textId="6FF95911" w:rsidR="00AE4192" w:rsidRPr="006E54E9" w:rsidRDefault="008A3FE8" w:rsidP="004B6D62">
      <w:pPr>
        <w:pStyle w:val="NoSpacing"/>
        <w:pBdr>
          <w:bottom w:val="double" w:sz="4" w:space="1" w:color="2E74B5" w:themeColor="accent5" w:themeShade="BF"/>
        </w:pBdr>
        <w:spacing w:before="40" w:after="240" w:line="276" w:lineRule="auto"/>
        <w:ind w:left="-180" w:right="-90"/>
        <w:jc w:val="both"/>
        <w:rPr>
          <w:rFonts w:asciiTheme="minorHAnsi" w:hAnsiTheme="minorHAnsi"/>
          <w:b/>
          <w:sz w:val="23"/>
          <w:szCs w:val="23"/>
        </w:rPr>
      </w:pPr>
      <w:r w:rsidRPr="008A3FE8">
        <w:rPr>
          <w:rFonts w:asciiTheme="minorHAnsi" w:hAnsiTheme="minorHAnsi"/>
          <w:b/>
          <w:sz w:val="23"/>
          <w:szCs w:val="23"/>
        </w:rPr>
        <w:t>Charles L. Schlapp, CFP</w:t>
      </w:r>
      <w:r w:rsidRPr="008A3FE8">
        <w:rPr>
          <w:rFonts w:asciiTheme="minorHAnsi" w:hAnsiTheme="minorHAnsi" w:cstheme="minorHAnsi"/>
          <w:b/>
          <w:sz w:val="23"/>
          <w:szCs w:val="23"/>
        </w:rPr>
        <w:t>®</w:t>
      </w:r>
    </w:p>
    <w:p w14:paraId="7950867F" w14:textId="77777777" w:rsidR="006E54E9" w:rsidRPr="006E54E9" w:rsidRDefault="006E54E9" w:rsidP="004B6D62">
      <w:pPr>
        <w:pStyle w:val="NoSpacing"/>
        <w:pBdr>
          <w:bottom w:val="double" w:sz="4" w:space="1" w:color="2E74B5" w:themeColor="accent5" w:themeShade="BF"/>
        </w:pBdr>
        <w:spacing w:before="40" w:after="240" w:line="276" w:lineRule="auto"/>
        <w:ind w:left="-180" w:right="-90"/>
        <w:jc w:val="both"/>
        <w:rPr>
          <w:rFonts w:asciiTheme="minorHAnsi" w:hAnsiTheme="minorHAnsi"/>
          <w:sz w:val="2"/>
          <w:szCs w:val="23"/>
        </w:rPr>
      </w:pPr>
    </w:p>
    <w:p w14:paraId="273D30D8" w14:textId="77777777" w:rsidR="000A2BF8" w:rsidRDefault="000A2BF8" w:rsidP="004B6D62">
      <w:pPr>
        <w:pStyle w:val="NoSpacing"/>
        <w:spacing w:before="40" w:after="240" w:line="276" w:lineRule="auto"/>
        <w:ind w:left="90" w:right="180"/>
        <w:jc w:val="both"/>
        <w:rPr>
          <w:rFonts w:asciiTheme="minorHAnsi" w:hAnsiTheme="minorHAnsi"/>
          <w:sz w:val="23"/>
          <w:szCs w:val="23"/>
        </w:rPr>
        <w:sectPr w:rsidR="000A2BF8" w:rsidSect="006E54E9">
          <w:pgSz w:w="12240" w:h="15840"/>
          <w:pgMar w:top="1260" w:right="1080" w:bottom="1440" w:left="1080" w:header="720" w:footer="720" w:gutter="0"/>
          <w:cols w:space="720"/>
          <w:docGrid w:linePitch="360"/>
        </w:sectPr>
      </w:pPr>
    </w:p>
    <w:p w14:paraId="21F65707" w14:textId="77777777" w:rsidR="00DF34C2" w:rsidRDefault="00EA0881" w:rsidP="00DF34C2">
      <w:pPr>
        <w:pStyle w:val="NoSpacing"/>
        <w:spacing w:before="40" w:line="276" w:lineRule="auto"/>
        <w:ind w:left="90" w:right="180"/>
        <w:jc w:val="both"/>
        <w:rPr>
          <w:rFonts w:asciiTheme="minorHAnsi" w:hAnsiTheme="minorHAnsi"/>
          <w:b/>
          <w:i/>
          <w:sz w:val="20"/>
          <w:szCs w:val="23"/>
        </w:rPr>
      </w:pPr>
      <w:r w:rsidRPr="0003775A">
        <w:rPr>
          <w:rFonts w:ascii="Times New Roman" w:hAnsi="Times New Roman"/>
          <w:b/>
          <w:sz w:val="23"/>
          <w:szCs w:val="23"/>
        </w:rPr>
        <w:lastRenderedPageBreak/>
        <w:t>W</w:t>
      </w:r>
      <w:r w:rsidRPr="0003775A">
        <w:rPr>
          <w:rFonts w:ascii="Times New Roman" w:hAnsi="Times New Roman"/>
          <w:sz w:val="23"/>
          <w:szCs w:val="23"/>
        </w:rPr>
        <w:t xml:space="preserve">hen reviewing the current environment for interest rates, almost all analysts are in agreement that </w:t>
      </w:r>
      <w:r w:rsidR="00DF34C2" w:rsidRPr="0003775A">
        <w:rPr>
          <w:rFonts w:ascii="Times New Roman" w:hAnsi="Times New Roman"/>
          <w:sz w:val="23"/>
          <w:szCs w:val="23"/>
        </w:rPr>
        <w:t xml:space="preserve">they will continue to rise </w:t>
      </w:r>
      <w:r w:rsidRPr="0003775A">
        <w:rPr>
          <w:rFonts w:ascii="Times New Roman" w:hAnsi="Times New Roman"/>
          <w:sz w:val="23"/>
          <w:szCs w:val="23"/>
        </w:rPr>
        <w:t xml:space="preserve">in the future.  Short term interest rates, which in recent years were at historically low levels, have already risen. </w:t>
      </w:r>
      <w:r w:rsidR="00D21565" w:rsidRPr="0003775A">
        <w:rPr>
          <w:rFonts w:ascii="Times New Roman" w:hAnsi="Times New Roman"/>
          <w:sz w:val="23"/>
          <w:szCs w:val="23"/>
        </w:rPr>
        <w:t>The</w:t>
      </w:r>
      <w:r w:rsidRPr="0003775A">
        <w:rPr>
          <w:rFonts w:ascii="Times New Roman" w:hAnsi="Times New Roman"/>
          <w:sz w:val="23"/>
          <w:szCs w:val="23"/>
        </w:rPr>
        <w:t xml:space="preserve"> Federal Reserve has already increased rates once this year,</w:t>
      </w:r>
      <w:r w:rsidR="00D21565" w:rsidRPr="0003775A">
        <w:rPr>
          <w:rFonts w:ascii="Times New Roman" w:hAnsi="Times New Roman"/>
          <w:sz w:val="23"/>
          <w:szCs w:val="23"/>
        </w:rPr>
        <w:t xml:space="preserve"> and</w:t>
      </w:r>
      <w:r w:rsidRPr="0003775A">
        <w:rPr>
          <w:rFonts w:ascii="Times New Roman" w:hAnsi="Times New Roman"/>
          <w:sz w:val="23"/>
          <w:szCs w:val="23"/>
        </w:rPr>
        <w:t xml:space="preserve"> at </w:t>
      </w:r>
      <w:r w:rsidR="00AE4192" w:rsidRPr="0003775A">
        <w:rPr>
          <w:rFonts w:ascii="Times New Roman" w:hAnsi="Times New Roman"/>
          <w:sz w:val="23"/>
          <w:szCs w:val="23"/>
        </w:rPr>
        <w:t xml:space="preserve">the end of a 2-day policy meeting, on May 2, the Federal Reserve decided unanimously to hold interest rates steady at </w:t>
      </w:r>
      <w:r w:rsidR="00DD3E3E" w:rsidRPr="0003775A">
        <w:rPr>
          <w:rFonts w:ascii="Times New Roman" w:hAnsi="Times New Roman"/>
          <w:sz w:val="23"/>
          <w:szCs w:val="23"/>
        </w:rPr>
        <w:t>th</w:t>
      </w:r>
      <w:r w:rsidR="000B394D" w:rsidRPr="0003775A">
        <w:rPr>
          <w:rFonts w:ascii="Times New Roman" w:hAnsi="Times New Roman"/>
          <w:sz w:val="23"/>
          <w:szCs w:val="23"/>
        </w:rPr>
        <w:t xml:space="preserve">e </w:t>
      </w:r>
      <w:r w:rsidR="00AE4192" w:rsidRPr="0003775A">
        <w:rPr>
          <w:rFonts w:ascii="Times New Roman" w:hAnsi="Times New Roman"/>
          <w:sz w:val="23"/>
          <w:szCs w:val="23"/>
        </w:rPr>
        <w:t>tar</w:t>
      </w:r>
      <w:r w:rsidRPr="0003775A">
        <w:rPr>
          <w:rFonts w:ascii="Times New Roman" w:hAnsi="Times New Roman"/>
          <w:sz w:val="23"/>
          <w:szCs w:val="23"/>
        </w:rPr>
        <w:t xml:space="preserve">get range of 1.5 to 1.75%.  Their notes said this </w:t>
      </w:r>
      <w:r w:rsidR="00AE4192" w:rsidRPr="0003775A">
        <w:rPr>
          <w:rFonts w:ascii="Times New Roman" w:hAnsi="Times New Roman"/>
          <w:sz w:val="23"/>
          <w:szCs w:val="23"/>
        </w:rPr>
        <w:t>decision was based on inflation recently moving close to the U.S. Central Bank’s target and that, “on a 12-month basis is expected to run</w:t>
      </w:r>
      <w:r w:rsidRPr="0003775A">
        <w:rPr>
          <w:rFonts w:ascii="Times New Roman" w:hAnsi="Times New Roman"/>
          <w:sz w:val="23"/>
          <w:szCs w:val="23"/>
        </w:rPr>
        <w:t xml:space="preserve"> near the Committee’s 2%</w:t>
      </w:r>
      <w:r w:rsidR="00AE4192" w:rsidRPr="0003775A">
        <w:rPr>
          <w:rFonts w:ascii="Times New Roman" w:hAnsi="Times New Roman"/>
          <w:sz w:val="23"/>
          <w:szCs w:val="23"/>
        </w:rPr>
        <w:t xml:space="preserve"> objective over the medium term.”</w:t>
      </w:r>
      <w:r w:rsidR="00DF34C2" w:rsidRPr="00690AC3">
        <w:rPr>
          <w:rFonts w:asciiTheme="minorHAnsi" w:hAnsiTheme="minorHAnsi"/>
          <w:b/>
          <w:i/>
          <w:sz w:val="20"/>
          <w:szCs w:val="23"/>
        </w:rPr>
        <w:t xml:space="preserve"> </w:t>
      </w:r>
    </w:p>
    <w:p w14:paraId="3F5E1FCE" w14:textId="4BCC2FBC" w:rsidR="00DF34C2" w:rsidRDefault="00DF34C2" w:rsidP="00DF34C2">
      <w:pPr>
        <w:pStyle w:val="NoSpacing"/>
        <w:spacing w:before="40" w:line="276" w:lineRule="auto"/>
        <w:ind w:left="90" w:right="180"/>
        <w:jc w:val="both"/>
        <w:rPr>
          <w:rFonts w:asciiTheme="minorHAnsi" w:hAnsiTheme="minorHAnsi"/>
          <w:b/>
          <w:i/>
          <w:sz w:val="18"/>
          <w:szCs w:val="23"/>
        </w:rPr>
      </w:pPr>
      <w:r w:rsidRPr="00DF34C2">
        <w:rPr>
          <w:rFonts w:asciiTheme="minorHAnsi" w:hAnsiTheme="minorHAnsi"/>
          <w:b/>
          <w:i/>
          <w:sz w:val="18"/>
          <w:szCs w:val="23"/>
        </w:rPr>
        <w:t xml:space="preserve">(Source: </w:t>
      </w:r>
      <w:hyperlink r:id="rId8" w:history="1">
        <w:r w:rsidRPr="00DF34C2">
          <w:rPr>
            <w:rFonts w:asciiTheme="minorHAnsi" w:hAnsiTheme="minorHAnsi"/>
            <w:b/>
            <w:i/>
            <w:sz w:val="18"/>
            <w:szCs w:val="23"/>
          </w:rPr>
          <w:t>reuters.com</w:t>
        </w:r>
      </w:hyperlink>
      <w:r w:rsidRPr="00DF34C2">
        <w:rPr>
          <w:rFonts w:asciiTheme="minorHAnsi" w:hAnsiTheme="minorHAnsi"/>
          <w:b/>
          <w:i/>
          <w:sz w:val="18"/>
          <w:szCs w:val="23"/>
        </w:rPr>
        <w:t xml:space="preserve"> 5/2/2018)</w:t>
      </w:r>
    </w:p>
    <w:p w14:paraId="182E6726" w14:textId="48D0E240" w:rsidR="00343A4C" w:rsidRPr="0003775A" w:rsidRDefault="0054448C" w:rsidP="00DF34C2">
      <w:pPr>
        <w:pStyle w:val="NoSpacing"/>
        <w:spacing w:before="40" w:line="276" w:lineRule="auto"/>
        <w:ind w:left="90" w:right="180"/>
        <w:jc w:val="both"/>
        <w:rPr>
          <w:rFonts w:ascii="Times New Roman" w:hAnsi="Times New Roman"/>
          <w:sz w:val="23"/>
          <w:szCs w:val="23"/>
        </w:rPr>
      </w:pPr>
      <w:r>
        <w:rPr>
          <w:rFonts w:ascii="Times New Roman" w:hAnsi="Times New Roman"/>
          <w:noProof/>
          <w:sz w:val="23"/>
          <w:szCs w:val="23"/>
        </w:rPr>
        <w:drawing>
          <wp:anchor distT="0" distB="0" distL="114300" distR="114300" simplePos="0" relativeHeight="251692032" behindDoc="0" locked="0" layoutInCell="1" allowOverlap="1" wp14:anchorId="77E1B302" wp14:editId="4E4607A1">
            <wp:simplePos x="0" y="0"/>
            <wp:positionH relativeFrom="column">
              <wp:posOffset>-41910</wp:posOffset>
            </wp:positionH>
            <wp:positionV relativeFrom="paragraph">
              <wp:posOffset>1502410</wp:posOffset>
            </wp:positionV>
            <wp:extent cx="6800215" cy="2524760"/>
            <wp:effectExtent l="0" t="0" r="635" b="889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00215" cy="2524760"/>
                    </a:xfrm>
                    <a:prstGeom prst="rect">
                      <a:avLst/>
                    </a:prstGeom>
                    <a:noFill/>
                    <a:ln>
                      <a:noFill/>
                    </a:ln>
                  </pic:spPr>
                </pic:pic>
              </a:graphicData>
            </a:graphic>
            <wp14:sizeRelH relativeFrom="page">
              <wp14:pctWidth>0</wp14:pctWidth>
            </wp14:sizeRelH>
            <wp14:sizeRelV relativeFrom="page">
              <wp14:pctHeight>0</wp14:pctHeight>
            </wp14:sizeRelV>
          </wp:anchor>
        </w:drawing>
      </w:r>
      <w:r w:rsidR="00DF34C2">
        <w:rPr>
          <w:rFonts w:asciiTheme="minorHAnsi" w:hAnsiTheme="minorHAnsi"/>
          <w:b/>
          <w:i/>
          <w:sz w:val="18"/>
          <w:szCs w:val="23"/>
        </w:rPr>
        <w:br/>
      </w:r>
      <w:r w:rsidR="00D130F9" w:rsidRPr="0003775A">
        <w:rPr>
          <w:rFonts w:ascii="Times New Roman" w:hAnsi="Times New Roman"/>
          <w:sz w:val="23"/>
          <w:szCs w:val="23"/>
        </w:rPr>
        <w:t>As suspected, during the May</w:t>
      </w:r>
      <w:r w:rsidR="00AE4192" w:rsidRPr="0003775A">
        <w:rPr>
          <w:rFonts w:ascii="Times New Roman" w:hAnsi="Times New Roman"/>
          <w:sz w:val="23"/>
          <w:szCs w:val="23"/>
        </w:rPr>
        <w:t xml:space="preserve"> meeting, the new Fed</w:t>
      </w:r>
      <w:r w:rsidR="00EA0881" w:rsidRPr="0003775A">
        <w:rPr>
          <w:rFonts w:ascii="Times New Roman" w:hAnsi="Times New Roman"/>
          <w:sz w:val="23"/>
          <w:szCs w:val="23"/>
        </w:rPr>
        <w:t>eral Reserve</w:t>
      </w:r>
      <w:r w:rsidR="00AE4192" w:rsidRPr="0003775A">
        <w:rPr>
          <w:rFonts w:ascii="Times New Roman" w:hAnsi="Times New Roman"/>
          <w:sz w:val="23"/>
          <w:szCs w:val="23"/>
        </w:rPr>
        <w:t xml:space="preserve"> </w:t>
      </w:r>
      <w:r w:rsidR="00143B5E" w:rsidRPr="0003775A">
        <w:rPr>
          <w:rFonts w:ascii="Times New Roman" w:hAnsi="Times New Roman"/>
          <w:sz w:val="23"/>
          <w:szCs w:val="23"/>
        </w:rPr>
        <w:t>Chairman</w:t>
      </w:r>
      <w:r w:rsidR="00AE4192" w:rsidRPr="0003775A">
        <w:rPr>
          <w:rFonts w:ascii="Times New Roman" w:hAnsi="Times New Roman"/>
          <w:sz w:val="23"/>
          <w:szCs w:val="23"/>
        </w:rPr>
        <w:t xml:space="preserve"> Jero</w:t>
      </w:r>
      <w:r w:rsidR="00EA0881" w:rsidRPr="0003775A">
        <w:rPr>
          <w:rFonts w:ascii="Times New Roman" w:hAnsi="Times New Roman"/>
          <w:sz w:val="23"/>
          <w:szCs w:val="23"/>
        </w:rPr>
        <w:t>me Powell confirmed that they</w:t>
      </w:r>
      <w:r w:rsidR="00AE4192" w:rsidRPr="0003775A">
        <w:rPr>
          <w:rFonts w:ascii="Times New Roman" w:hAnsi="Times New Roman"/>
          <w:sz w:val="23"/>
          <w:szCs w:val="23"/>
        </w:rPr>
        <w:t xml:space="preserve"> will continue a middle of the road approach to monetary policy and steadily increase rates. They are still on track to fulfill two additional rate increase</w:t>
      </w:r>
      <w:r w:rsidR="000B394D" w:rsidRPr="0003775A">
        <w:rPr>
          <w:rFonts w:ascii="Times New Roman" w:hAnsi="Times New Roman"/>
          <w:sz w:val="23"/>
          <w:szCs w:val="23"/>
        </w:rPr>
        <w:t>s</w:t>
      </w:r>
      <w:r w:rsidR="00DF34C2">
        <w:rPr>
          <w:rFonts w:ascii="Times New Roman" w:hAnsi="Times New Roman"/>
          <w:sz w:val="23"/>
          <w:szCs w:val="23"/>
        </w:rPr>
        <w:t>, one</w:t>
      </w:r>
      <w:r w:rsidR="00AE4192" w:rsidRPr="0003775A">
        <w:rPr>
          <w:rFonts w:ascii="Times New Roman" w:hAnsi="Times New Roman"/>
          <w:sz w:val="23"/>
          <w:szCs w:val="23"/>
        </w:rPr>
        <w:t xml:space="preserve"> in mid-June and </w:t>
      </w:r>
      <w:r w:rsidR="00DF34C2">
        <w:rPr>
          <w:rFonts w:ascii="Times New Roman" w:hAnsi="Times New Roman"/>
          <w:sz w:val="23"/>
          <w:szCs w:val="23"/>
        </w:rPr>
        <w:t xml:space="preserve">one </w:t>
      </w:r>
      <w:r w:rsidR="00AE4192" w:rsidRPr="0003775A">
        <w:rPr>
          <w:rFonts w:ascii="Times New Roman" w:hAnsi="Times New Roman"/>
          <w:sz w:val="23"/>
          <w:szCs w:val="23"/>
        </w:rPr>
        <w:lastRenderedPageBreak/>
        <w:t xml:space="preserve">later </w:t>
      </w:r>
      <w:r w:rsidR="00DF34C2">
        <w:rPr>
          <w:rFonts w:ascii="Times New Roman" w:hAnsi="Times New Roman"/>
          <w:sz w:val="23"/>
          <w:szCs w:val="23"/>
        </w:rPr>
        <w:t>this</w:t>
      </w:r>
      <w:r w:rsidR="00AE4192" w:rsidRPr="0003775A">
        <w:rPr>
          <w:rFonts w:ascii="Times New Roman" w:hAnsi="Times New Roman"/>
          <w:sz w:val="23"/>
          <w:szCs w:val="23"/>
        </w:rPr>
        <w:t xml:space="preserve"> year.  </w:t>
      </w:r>
      <w:r w:rsidR="000B394D" w:rsidRPr="0003775A">
        <w:rPr>
          <w:rFonts w:ascii="Times New Roman" w:hAnsi="Times New Roman"/>
          <w:sz w:val="23"/>
          <w:szCs w:val="23"/>
        </w:rPr>
        <w:t xml:space="preserve">Most economists are confident the Fed will raise rates at the next meeting in June. </w:t>
      </w:r>
      <w:r w:rsidR="00AE4192" w:rsidRPr="0003775A">
        <w:rPr>
          <w:rFonts w:ascii="Times New Roman" w:hAnsi="Times New Roman"/>
          <w:sz w:val="23"/>
          <w:szCs w:val="23"/>
        </w:rPr>
        <w:t>However, some analysts</w:t>
      </w:r>
      <w:r w:rsidR="00EA0881" w:rsidRPr="0003775A">
        <w:rPr>
          <w:rFonts w:ascii="Times New Roman" w:hAnsi="Times New Roman"/>
          <w:sz w:val="23"/>
          <w:szCs w:val="23"/>
        </w:rPr>
        <w:t xml:space="preserve"> feel that there is a possibility of </w:t>
      </w:r>
      <w:r w:rsidR="00D21565" w:rsidRPr="0003775A">
        <w:rPr>
          <w:rFonts w:ascii="Times New Roman" w:hAnsi="Times New Roman"/>
          <w:sz w:val="23"/>
          <w:szCs w:val="23"/>
        </w:rPr>
        <w:t>two more</w:t>
      </w:r>
      <w:r w:rsidR="00EA0881" w:rsidRPr="0003775A">
        <w:rPr>
          <w:rFonts w:ascii="Times New Roman" w:hAnsi="Times New Roman"/>
          <w:sz w:val="23"/>
          <w:szCs w:val="23"/>
        </w:rPr>
        <w:t xml:space="preserve"> raise</w:t>
      </w:r>
      <w:r w:rsidR="00D21565" w:rsidRPr="0003775A">
        <w:rPr>
          <w:rFonts w:ascii="Times New Roman" w:hAnsi="Times New Roman"/>
          <w:sz w:val="23"/>
          <w:szCs w:val="23"/>
        </w:rPr>
        <w:t>s after that one</w:t>
      </w:r>
      <w:r w:rsidR="00EA0881" w:rsidRPr="0003775A">
        <w:rPr>
          <w:rFonts w:ascii="Times New Roman" w:hAnsi="Times New Roman"/>
          <w:sz w:val="23"/>
          <w:szCs w:val="23"/>
        </w:rPr>
        <w:t xml:space="preserve"> in 2018</w:t>
      </w:r>
      <w:r w:rsidR="00AE4192" w:rsidRPr="0003775A">
        <w:rPr>
          <w:rFonts w:ascii="Times New Roman" w:hAnsi="Times New Roman"/>
          <w:sz w:val="23"/>
          <w:szCs w:val="23"/>
        </w:rPr>
        <w:t xml:space="preserve">. </w:t>
      </w:r>
    </w:p>
    <w:p w14:paraId="2C0F65D2" w14:textId="2E720DCE" w:rsidR="000B394D" w:rsidRPr="004110CD" w:rsidRDefault="00AE4192" w:rsidP="00DF34C2">
      <w:pPr>
        <w:pStyle w:val="NoSpacing"/>
        <w:spacing w:before="40" w:line="276" w:lineRule="auto"/>
        <w:ind w:left="90" w:right="180"/>
        <w:jc w:val="both"/>
        <w:rPr>
          <w:rFonts w:asciiTheme="minorHAnsi" w:hAnsiTheme="minorHAnsi"/>
          <w:b/>
          <w:i/>
          <w:sz w:val="18"/>
          <w:szCs w:val="23"/>
        </w:rPr>
      </w:pPr>
      <w:r w:rsidRPr="004110CD">
        <w:rPr>
          <w:rFonts w:asciiTheme="minorHAnsi" w:hAnsiTheme="minorHAnsi"/>
          <w:b/>
          <w:i/>
          <w:sz w:val="18"/>
          <w:szCs w:val="23"/>
        </w:rPr>
        <w:t>(Source: Associated Press 5/2/18)</w:t>
      </w:r>
    </w:p>
    <w:p w14:paraId="68885340" w14:textId="77777777" w:rsidR="00AE2848" w:rsidRPr="00AE2848" w:rsidRDefault="00AE2848" w:rsidP="004B6D62">
      <w:pPr>
        <w:pStyle w:val="NoSpacing"/>
        <w:spacing w:after="240" w:line="276" w:lineRule="auto"/>
        <w:ind w:left="90" w:right="180"/>
        <w:jc w:val="both"/>
        <w:rPr>
          <w:rFonts w:asciiTheme="minorHAnsi" w:hAnsiTheme="minorHAnsi"/>
          <w:b/>
          <w:i/>
          <w:sz w:val="2"/>
        </w:rPr>
      </w:pPr>
    </w:p>
    <w:p w14:paraId="51C66934" w14:textId="50DE0FA2" w:rsidR="00343A4C" w:rsidRPr="00224E83" w:rsidRDefault="00343A4C" w:rsidP="004B6D62">
      <w:pPr>
        <w:shd w:val="clear" w:color="auto" w:fill="B4C6E7" w:themeFill="accent1" w:themeFillTint="66"/>
        <w:spacing w:before="120" w:after="100" w:afterAutospacing="1"/>
        <w:ind w:left="90" w:right="180"/>
        <w:jc w:val="center"/>
        <w:rPr>
          <w:b/>
          <w:iCs/>
          <w:color w:val="1F3864" w:themeColor="accent1" w:themeShade="80"/>
          <w:sz w:val="36"/>
          <w:szCs w:val="36"/>
        </w:rPr>
      </w:pPr>
      <w:r w:rsidRPr="00224E83">
        <w:rPr>
          <w:b/>
          <w:iCs/>
          <w:color w:val="1F3864" w:themeColor="accent1" w:themeShade="80"/>
          <w:sz w:val="36"/>
          <w:szCs w:val="36"/>
        </w:rPr>
        <w:t>Inflation Outlook</w:t>
      </w:r>
    </w:p>
    <w:p w14:paraId="570F425F" w14:textId="6315725A" w:rsidR="00343A4C" w:rsidRPr="0003775A" w:rsidRDefault="00D130F9" w:rsidP="004B6D62">
      <w:pPr>
        <w:pStyle w:val="NoSpacing"/>
        <w:spacing w:before="40" w:after="240" w:line="276" w:lineRule="auto"/>
        <w:ind w:left="90" w:right="180"/>
        <w:jc w:val="both"/>
        <w:rPr>
          <w:rFonts w:ascii="Times New Roman" w:hAnsi="Times New Roman"/>
          <w:sz w:val="23"/>
          <w:szCs w:val="23"/>
        </w:rPr>
      </w:pPr>
      <w:r w:rsidRPr="0003775A">
        <w:rPr>
          <w:rFonts w:ascii="Times New Roman" w:hAnsi="Times New Roman"/>
          <w:sz w:val="23"/>
          <w:szCs w:val="23"/>
        </w:rPr>
        <w:t>Inflation is at the center of the U.S. economy, because the Federal Reserve is closely monitoring whether consumer price increases will accelerate and force it to raise interest rates more sharply this year. </w:t>
      </w:r>
      <w:r w:rsidR="00343A4C" w:rsidRPr="0003775A">
        <w:rPr>
          <w:rFonts w:ascii="Times New Roman" w:hAnsi="Times New Roman"/>
          <w:sz w:val="23"/>
          <w:szCs w:val="23"/>
        </w:rPr>
        <w:t xml:space="preserve"> Greg McBride of Bankrate.com stated, “The Fed pledges to maintain their gradual pace of rate hikes despite inflation moving close to their 2% objective, with some wiggle room for it to run slightly above that</w:t>
      </w:r>
      <w:r w:rsidRPr="0003775A">
        <w:rPr>
          <w:rFonts w:ascii="Times New Roman" w:hAnsi="Times New Roman"/>
          <w:sz w:val="23"/>
          <w:szCs w:val="23"/>
        </w:rPr>
        <w:t>.” He also added that, “</w:t>
      </w:r>
      <w:r w:rsidR="00343A4C" w:rsidRPr="0003775A">
        <w:rPr>
          <w:rFonts w:ascii="Times New Roman" w:hAnsi="Times New Roman"/>
          <w:sz w:val="23"/>
          <w:szCs w:val="23"/>
        </w:rPr>
        <w:t>the movement in inflation will squarely shift the outlook to four rate hikes, rather than just three, by the time 2018 draws to a close.” </w:t>
      </w:r>
    </w:p>
    <w:p w14:paraId="115BA6D3" w14:textId="3050EE14" w:rsidR="00DF34C2" w:rsidRDefault="0054448C" w:rsidP="00DF34C2">
      <w:pPr>
        <w:pStyle w:val="NoSpacing"/>
        <w:spacing w:line="276" w:lineRule="auto"/>
        <w:ind w:left="90" w:right="180"/>
        <w:jc w:val="both"/>
        <w:rPr>
          <w:rFonts w:ascii="Times New Roman" w:hAnsi="Times New Roman"/>
          <w:sz w:val="23"/>
          <w:szCs w:val="23"/>
        </w:rPr>
      </w:pPr>
      <w:r>
        <w:rPr>
          <w:rFonts w:ascii="Times New Roman" w:hAnsi="Times New Roman"/>
          <w:noProof/>
          <w:sz w:val="23"/>
          <w:szCs w:val="23"/>
        </w:rPr>
        <w:lastRenderedPageBreak/>
        <w:drawing>
          <wp:anchor distT="91440" distB="91440" distL="114300" distR="114300" simplePos="0" relativeHeight="251693056" behindDoc="0" locked="0" layoutInCell="1" allowOverlap="1" wp14:anchorId="3A78489A" wp14:editId="546014C3">
            <wp:simplePos x="0" y="0"/>
            <wp:positionH relativeFrom="column">
              <wp:posOffset>3651885</wp:posOffset>
            </wp:positionH>
            <wp:positionV relativeFrom="paragraph">
              <wp:posOffset>19685</wp:posOffset>
            </wp:positionV>
            <wp:extent cx="3158490" cy="2143760"/>
            <wp:effectExtent l="19050" t="19050" r="22860" b="2794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58490" cy="2143760"/>
                    </a:xfrm>
                    <a:prstGeom prst="rect">
                      <a:avLst/>
                    </a:prstGeom>
                    <a:noFill/>
                    <a:ln>
                      <a:solidFill>
                        <a:schemeClr val="accent5">
                          <a:lumMod val="50000"/>
                        </a:schemeClr>
                      </a:solidFill>
                    </a:ln>
                  </pic:spPr>
                </pic:pic>
              </a:graphicData>
            </a:graphic>
            <wp14:sizeRelH relativeFrom="page">
              <wp14:pctWidth>0</wp14:pctWidth>
            </wp14:sizeRelH>
            <wp14:sizeRelV relativeFrom="page">
              <wp14:pctHeight>0</wp14:pctHeight>
            </wp14:sizeRelV>
          </wp:anchor>
        </w:drawing>
      </w:r>
      <w:r w:rsidR="00343A4C" w:rsidRPr="0003775A">
        <w:rPr>
          <w:rFonts w:ascii="Times New Roman" w:hAnsi="Times New Roman"/>
          <w:sz w:val="23"/>
          <w:szCs w:val="23"/>
        </w:rPr>
        <w:t xml:space="preserve">Ian Shepherdson, Chief Economist at Pantheon Macroeconomics, wrote in a research note after the meeting, “The Fed is telling markets that it won’t overreact to a run of higher numbers just as it didn’t overreact to the run of five straight downside surprises last year.” </w:t>
      </w:r>
    </w:p>
    <w:p w14:paraId="0D00B1DA" w14:textId="5635DEFC" w:rsidR="00343A4C" w:rsidRPr="004110CD" w:rsidRDefault="00343A4C" w:rsidP="004110CD">
      <w:pPr>
        <w:pStyle w:val="NoSpacing"/>
        <w:spacing w:before="40" w:line="276" w:lineRule="auto"/>
        <w:ind w:left="90" w:right="180"/>
        <w:jc w:val="both"/>
        <w:rPr>
          <w:rFonts w:asciiTheme="minorHAnsi" w:hAnsiTheme="minorHAnsi"/>
          <w:b/>
          <w:i/>
          <w:sz w:val="18"/>
          <w:szCs w:val="23"/>
        </w:rPr>
      </w:pPr>
      <w:r w:rsidRPr="004110CD">
        <w:rPr>
          <w:rFonts w:asciiTheme="minorHAnsi" w:hAnsiTheme="minorHAnsi"/>
          <w:b/>
          <w:i/>
          <w:sz w:val="18"/>
          <w:szCs w:val="23"/>
        </w:rPr>
        <w:t xml:space="preserve">(Source: </w:t>
      </w:r>
      <w:hyperlink r:id="rId11" w:history="1">
        <w:r w:rsidRPr="004110CD">
          <w:rPr>
            <w:rFonts w:asciiTheme="minorHAnsi" w:hAnsiTheme="minorHAnsi"/>
            <w:b/>
            <w:i/>
            <w:sz w:val="18"/>
            <w:szCs w:val="23"/>
          </w:rPr>
          <w:t>www.nytimes.com</w:t>
        </w:r>
      </w:hyperlink>
      <w:r w:rsidRPr="004110CD">
        <w:rPr>
          <w:rFonts w:asciiTheme="minorHAnsi" w:hAnsiTheme="minorHAnsi"/>
          <w:b/>
          <w:i/>
          <w:sz w:val="18"/>
          <w:szCs w:val="23"/>
        </w:rPr>
        <w:t xml:space="preserve"> 5/2/2018)</w:t>
      </w:r>
    </w:p>
    <w:p w14:paraId="34D7ACC5" w14:textId="2A114569" w:rsidR="00DF34C2" w:rsidRPr="004110CD" w:rsidRDefault="00DF34C2" w:rsidP="00DF34C2">
      <w:pPr>
        <w:pStyle w:val="NoSpacing"/>
        <w:spacing w:before="240" w:line="276" w:lineRule="auto"/>
        <w:ind w:left="90" w:right="180"/>
        <w:jc w:val="both"/>
        <w:rPr>
          <w:rFonts w:ascii="Times New Roman" w:hAnsi="Times New Roman"/>
          <w:sz w:val="4"/>
          <w:szCs w:val="23"/>
        </w:rPr>
      </w:pPr>
    </w:p>
    <w:p w14:paraId="57E8FD94" w14:textId="38CEF427" w:rsidR="00D130F9" w:rsidRPr="004110CD" w:rsidRDefault="00D130F9" w:rsidP="004B6D62">
      <w:pPr>
        <w:pStyle w:val="NoSpacing"/>
        <w:spacing w:after="240" w:line="276" w:lineRule="auto"/>
        <w:ind w:left="90" w:right="180"/>
        <w:jc w:val="both"/>
        <w:rPr>
          <w:rFonts w:ascii="Times New Roman" w:hAnsi="Times New Roman"/>
          <w:sz w:val="14"/>
          <w:szCs w:val="23"/>
        </w:rPr>
      </w:pPr>
      <w:r w:rsidRPr="0003775A">
        <w:rPr>
          <w:rFonts w:ascii="Times New Roman" w:hAnsi="Times New Roman"/>
          <w:sz w:val="23"/>
          <w:szCs w:val="23"/>
        </w:rPr>
        <w:t xml:space="preserve">The </w:t>
      </w:r>
      <w:r w:rsidRPr="0003775A">
        <w:rPr>
          <w:rFonts w:ascii="Times New Roman" w:hAnsi="Times New Roman"/>
          <w:i/>
          <w:sz w:val="23"/>
          <w:szCs w:val="23"/>
        </w:rPr>
        <w:t>USA Today</w:t>
      </w:r>
      <w:r w:rsidRPr="0003775A">
        <w:rPr>
          <w:rFonts w:ascii="Times New Roman" w:hAnsi="Times New Roman"/>
          <w:sz w:val="23"/>
          <w:szCs w:val="23"/>
        </w:rPr>
        <w:t xml:space="preserve">, reported on May 7th that, “Consumer credit has been growing solidly as strong job and income growth make Americans feel more comfortable about using their credit cards to make purchases. They also shared that unemployment is at a 17-year-low of 4.1%, and recently there has been a jump in gasoline prices. Just like the Fed, investors </w:t>
      </w:r>
      <w:r w:rsidR="00A13900" w:rsidRPr="0003775A">
        <w:rPr>
          <w:rFonts w:ascii="Times New Roman" w:hAnsi="Times New Roman"/>
          <w:sz w:val="23"/>
          <w:szCs w:val="23"/>
        </w:rPr>
        <w:t>should</w:t>
      </w:r>
      <w:r w:rsidRPr="0003775A">
        <w:rPr>
          <w:rFonts w:ascii="Times New Roman" w:hAnsi="Times New Roman"/>
          <w:sz w:val="23"/>
          <w:szCs w:val="23"/>
        </w:rPr>
        <w:t xml:space="preserve"> keep a close eye on inflation.</w:t>
      </w:r>
    </w:p>
    <w:p w14:paraId="72499718" w14:textId="352F01B6" w:rsidR="00AE2848" w:rsidRPr="0054448C" w:rsidRDefault="00AE2848" w:rsidP="004B6D62">
      <w:pPr>
        <w:pStyle w:val="NoSpacing"/>
        <w:spacing w:after="240" w:line="276" w:lineRule="auto"/>
        <w:ind w:left="90" w:right="180"/>
        <w:jc w:val="both"/>
        <w:rPr>
          <w:rFonts w:ascii="Times New Roman" w:hAnsi="Times New Roman"/>
          <w:sz w:val="2"/>
          <w:szCs w:val="23"/>
        </w:rPr>
      </w:pPr>
    </w:p>
    <w:p w14:paraId="61B5E9E9" w14:textId="627603DC" w:rsidR="00A13900" w:rsidRPr="00224E83" w:rsidRDefault="00A13900" w:rsidP="004B6D62">
      <w:pPr>
        <w:shd w:val="clear" w:color="auto" w:fill="B4C6E7" w:themeFill="accent1" w:themeFillTint="66"/>
        <w:spacing w:before="120" w:after="100" w:afterAutospacing="1"/>
        <w:ind w:left="90" w:right="180"/>
        <w:jc w:val="center"/>
        <w:rPr>
          <w:rFonts w:eastAsia="Times New Roman"/>
          <w:b/>
          <w:bCs/>
          <w:color w:val="1F3864" w:themeColor="accent1" w:themeShade="80"/>
          <w:sz w:val="32"/>
          <w:szCs w:val="28"/>
        </w:rPr>
      </w:pPr>
      <w:r w:rsidRPr="00224E83">
        <w:rPr>
          <w:b/>
          <w:iCs/>
          <w:color w:val="1F3864" w:themeColor="accent1" w:themeShade="80"/>
          <w:sz w:val="36"/>
          <w:szCs w:val="36"/>
        </w:rPr>
        <w:t>U.S. Treasury Notes</w:t>
      </w:r>
    </w:p>
    <w:p w14:paraId="1ADB79E5" w14:textId="1F47F5D7" w:rsidR="00A13900" w:rsidRPr="0003775A" w:rsidRDefault="00A13900" w:rsidP="004B6D62">
      <w:pPr>
        <w:pStyle w:val="NoSpacing"/>
        <w:spacing w:before="40" w:after="240" w:line="276" w:lineRule="auto"/>
        <w:ind w:left="90" w:right="180"/>
        <w:jc w:val="both"/>
        <w:rPr>
          <w:rFonts w:ascii="Times New Roman" w:hAnsi="Times New Roman"/>
          <w:sz w:val="23"/>
          <w:szCs w:val="23"/>
        </w:rPr>
      </w:pPr>
      <w:r w:rsidRPr="0003775A">
        <w:rPr>
          <w:rFonts w:ascii="Times New Roman" w:hAnsi="Times New Roman"/>
          <w:sz w:val="23"/>
          <w:szCs w:val="23"/>
        </w:rPr>
        <w:t>The 10-year U.S. Treasury’s stature as a benchmark comes from being perceived as risk-free. 3% by some economists is viewed as a key threshold for a number of reasons. Three main reasons are: mortgage rates, the stock market and corporate debt.  If this rate goes up, it will increase new mortgage rates.  Also</w:t>
      </w:r>
      <w:r w:rsidR="00690AC3">
        <w:rPr>
          <w:rFonts w:ascii="Times New Roman" w:hAnsi="Times New Roman"/>
          <w:sz w:val="23"/>
          <w:szCs w:val="23"/>
        </w:rPr>
        <w:t>,</w:t>
      </w:r>
      <w:r w:rsidRPr="0003775A">
        <w:rPr>
          <w:rFonts w:ascii="Times New Roman" w:hAnsi="Times New Roman"/>
          <w:sz w:val="23"/>
          <w:szCs w:val="23"/>
        </w:rPr>
        <w:t xml:space="preserve"> if corporate borrowing becomes more expensive, that could lead to corporate projects or expansion being put on hold or cancelled.</w:t>
      </w:r>
    </w:p>
    <w:p w14:paraId="70E00F65" w14:textId="63FAA6E8" w:rsidR="00A13900" w:rsidRPr="0003775A" w:rsidRDefault="00A13900" w:rsidP="004B6D62">
      <w:pPr>
        <w:pStyle w:val="NoSpacing"/>
        <w:spacing w:line="276" w:lineRule="auto"/>
        <w:ind w:left="90" w:right="180"/>
        <w:jc w:val="both"/>
        <w:rPr>
          <w:rFonts w:ascii="Times New Roman" w:hAnsi="Times New Roman"/>
          <w:sz w:val="23"/>
          <w:szCs w:val="23"/>
        </w:rPr>
      </w:pPr>
      <w:r w:rsidRPr="0003775A">
        <w:rPr>
          <w:rFonts w:ascii="Times New Roman" w:hAnsi="Times New Roman"/>
          <w:sz w:val="23"/>
          <w:szCs w:val="23"/>
        </w:rPr>
        <w:t xml:space="preserve">The 10-year U.S. Treasury yield on Tuesday, May 1, moved above 3% for the first time since 2014. It’s a psychological level for the markets because we haven’t seen 3% 10-year yields since 2013. “The 10-year is potential competition for stocks,” said David Kass, a professor of finance at the University of Maryland. </w:t>
      </w:r>
    </w:p>
    <w:p w14:paraId="5EBB8149" w14:textId="5D5A0ECE" w:rsidR="00A13900" w:rsidRPr="00690AC3" w:rsidRDefault="00A13900" w:rsidP="004110CD">
      <w:pPr>
        <w:pStyle w:val="NoSpacing"/>
        <w:spacing w:before="40" w:line="276" w:lineRule="auto"/>
        <w:ind w:left="90" w:right="180"/>
        <w:jc w:val="both"/>
        <w:rPr>
          <w:rFonts w:asciiTheme="minorHAnsi" w:hAnsiTheme="minorHAnsi"/>
          <w:b/>
          <w:i/>
          <w:sz w:val="18"/>
          <w:szCs w:val="23"/>
        </w:rPr>
      </w:pPr>
      <w:r w:rsidRPr="00690AC3">
        <w:rPr>
          <w:rFonts w:asciiTheme="minorHAnsi" w:hAnsiTheme="minorHAnsi"/>
          <w:b/>
          <w:i/>
          <w:sz w:val="18"/>
          <w:szCs w:val="23"/>
        </w:rPr>
        <w:t>(Sources: Fidelity.com 5/2018,</w:t>
      </w:r>
      <w:r w:rsidR="00690AC3" w:rsidRPr="00690AC3">
        <w:rPr>
          <w:rFonts w:asciiTheme="minorHAnsi" w:hAnsiTheme="minorHAnsi"/>
          <w:b/>
          <w:i/>
          <w:sz w:val="18"/>
          <w:szCs w:val="23"/>
        </w:rPr>
        <w:t xml:space="preserve"> </w:t>
      </w:r>
      <w:r w:rsidRPr="00690AC3">
        <w:rPr>
          <w:rFonts w:asciiTheme="minorHAnsi" w:hAnsiTheme="minorHAnsi"/>
          <w:b/>
          <w:i/>
          <w:sz w:val="18"/>
          <w:szCs w:val="23"/>
        </w:rPr>
        <w:t>www.Macrotrends.net)</w:t>
      </w:r>
    </w:p>
    <w:p w14:paraId="1FAAEBC0" w14:textId="1120D966" w:rsidR="00DF34C2" w:rsidRDefault="004110CD" w:rsidP="00DF34C2">
      <w:pPr>
        <w:pStyle w:val="NoSpacing"/>
        <w:spacing w:before="40" w:line="276" w:lineRule="auto"/>
        <w:ind w:left="90" w:right="180"/>
        <w:jc w:val="both"/>
        <w:rPr>
          <w:rFonts w:ascii="Times New Roman" w:hAnsi="Times New Roman"/>
          <w:sz w:val="23"/>
          <w:szCs w:val="23"/>
        </w:rPr>
      </w:pPr>
      <w:r>
        <w:rPr>
          <w:rFonts w:ascii="Times New Roman" w:hAnsi="Times New Roman"/>
          <w:sz w:val="23"/>
          <w:szCs w:val="23"/>
        </w:rPr>
        <w:br/>
      </w:r>
      <w:r w:rsidR="00A13900" w:rsidRPr="0003775A">
        <w:rPr>
          <w:rFonts w:ascii="Times New Roman" w:hAnsi="Times New Roman"/>
          <w:sz w:val="23"/>
          <w:szCs w:val="23"/>
        </w:rPr>
        <w:t xml:space="preserve">“The majority of the rise in Treasury yields so far this year appears to have been due to changes in expectations for interest rates ... Investors are now counting on faster Fed tightening than previously, which makes sense given the signs that core inflation and wage pressures in the US have increased,” said Oliver Jones, Market Economist for Capital Economics. </w:t>
      </w:r>
    </w:p>
    <w:p w14:paraId="5A5BC76D" w14:textId="7271FE7D" w:rsidR="00A13900" w:rsidRPr="004110CD" w:rsidRDefault="00A13900" w:rsidP="00DF34C2">
      <w:pPr>
        <w:pStyle w:val="NoSpacing"/>
        <w:spacing w:before="40" w:line="276" w:lineRule="auto"/>
        <w:ind w:left="90" w:right="180"/>
        <w:jc w:val="both"/>
        <w:rPr>
          <w:rFonts w:asciiTheme="minorHAnsi" w:hAnsiTheme="minorHAnsi"/>
          <w:b/>
          <w:i/>
          <w:sz w:val="18"/>
          <w:szCs w:val="23"/>
        </w:rPr>
      </w:pPr>
      <w:r w:rsidRPr="004110CD">
        <w:rPr>
          <w:rFonts w:asciiTheme="minorHAnsi" w:hAnsiTheme="minorHAnsi"/>
          <w:b/>
          <w:i/>
          <w:sz w:val="18"/>
          <w:szCs w:val="23"/>
        </w:rPr>
        <w:t>(Source: Marketwatch.com 5/1/18)</w:t>
      </w:r>
    </w:p>
    <w:p w14:paraId="1A3CFC98" w14:textId="77777777" w:rsidR="00DF34C2" w:rsidRPr="00690AC3" w:rsidRDefault="00DF34C2" w:rsidP="00DF34C2">
      <w:pPr>
        <w:pStyle w:val="NoSpacing"/>
        <w:spacing w:before="40" w:line="276" w:lineRule="auto"/>
        <w:ind w:left="90" w:right="180"/>
        <w:jc w:val="both"/>
        <w:rPr>
          <w:rFonts w:ascii="Times New Roman" w:hAnsi="Times New Roman"/>
          <w:sz w:val="23"/>
          <w:szCs w:val="23"/>
        </w:rPr>
      </w:pPr>
    </w:p>
    <w:p w14:paraId="62A10378" w14:textId="77777777" w:rsidR="00DF34C2" w:rsidRDefault="00A13900" w:rsidP="00DF34C2">
      <w:pPr>
        <w:pStyle w:val="NoSpacing"/>
        <w:spacing w:before="40" w:line="276" w:lineRule="auto"/>
        <w:ind w:left="90" w:right="180"/>
        <w:jc w:val="both"/>
        <w:rPr>
          <w:rFonts w:ascii="Times New Roman" w:hAnsi="Times New Roman"/>
          <w:sz w:val="23"/>
          <w:szCs w:val="23"/>
        </w:rPr>
      </w:pPr>
      <w:r w:rsidRPr="0003775A">
        <w:rPr>
          <w:rFonts w:ascii="Times New Roman" w:hAnsi="Times New Roman"/>
          <w:sz w:val="23"/>
          <w:szCs w:val="23"/>
        </w:rPr>
        <w:t>Remember, while interest rates are up from a year ago, they are still at historically lower levels. 6% is the 60-year average for a 10 Year Treasury.</w:t>
      </w:r>
      <w:r w:rsidR="00E0469D" w:rsidRPr="0003775A">
        <w:rPr>
          <w:rFonts w:ascii="Times New Roman" w:hAnsi="Times New Roman"/>
          <w:sz w:val="23"/>
          <w:szCs w:val="23"/>
        </w:rPr>
        <w:t xml:space="preserve"> </w:t>
      </w:r>
    </w:p>
    <w:p w14:paraId="0DFE8EBF" w14:textId="30B31E60" w:rsidR="00A13900" w:rsidRPr="0054448C" w:rsidRDefault="00E0469D" w:rsidP="004110CD">
      <w:pPr>
        <w:pStyle w:val="NoSpacing"/>
        <w:spacing w:before="40" w:line="276" w:lineRule="auto"/>
        <w:ind w:left="90" w:right="180"/>
        <w:jc w:val="both"/>
        <w:rPr>
          <w:rFonts w:asciiTheme="minorHAnsi" w:hAnsiTheme="minorHAnsi"/>
          <w:b/>
          <w:i/>
          <w:sz w:val="18"/>
          <w:szCs w:val="23"/>
        </w:rPr>
      </w:pPr>
      <w:r w:rsidRPr="004110CD">
        <w:rPr>
          <w:rFonts w:asciiTheme="minorHAnsi" w:hAnsiTheme="minorHAnsi"/>
          <w:b/>
          <w:i/>
          <w:sz w:val="18"/>
          <w:szCs w:val="23"/>
        </w:rPr>
        <w:t>(Source: Barron’s 5/5/2018)</w:t>
      </w:r>
    </w:p>
    <w:p w14:paraId="1E802847" w14:textId="5E7DEDD4" w:rsidR="00AE2848" w:rsidRPr="003E5A10" w:rsidRDefault="00AE2848" w:rsidP="004B6D62">
      <w:pPr>
        <w:pStyle w:val="NoSpacing"/>
        <w:spacing w:before="40" w:after="240" w:line="276" w:lineRule="auto"/>
        <w:ind w:left="90" w:right="180"/>
        <w:jc w:val="both"/>
        <w:rPr>
          <w:rFonts w:asciiTheme="minorHAnsi" w:hAnsiTheme="minorHAnsi"/>
          <w:b/>
          <w:sz w:val="2"/>
        </w:rPr>
      </w:pPr>
    </w:p>
    <w:p w14:paraId="352424A0" w14:textId="0C53E741" w:rsidR="00E225BA" w:rsidRPr="00224E83" w:rsidRDefault="00E225BA" w:rsidP="004B6D62">
      <w:pPr>
        <w:shd w:val="clear" w:color="auto" w:fill="B4C6E7" w:themeFill="accent1" w:themeFillTint="66"/>
        <w:spacing w:before="120" w:after="100" w:afterAutospacing="1"/>
        <w:ind w:left="90" w:right="180" w:firstLine="90"/>
        <w:jc w:val="center"/>
        <w:rPr>
          <w:b/>
          <w:iCs/>
          <w:color w:val="1F3864" w:themeColor="accent1" w:themeShade="80"/>
          <w:sz w:val="36"/>
          <w:szCs w:val="36"/>
        </w:rPr>
      </w:pPr>
      <w:r>
        <w:rPr>
          <w:b/>
          <w:iCs/>
          <w:color w:val="1F3864" w:themeColor="accent1" w:themeShade="80"/>
          <w:sz w:val="36"/>
          <w:szCs w:val="36"/>
        </w:rPr>
        <w:t xml:space="preserve">The </w:t>
      </w:r>
      <w:r w:rsidR="004B6D62">
        <w:rPr>
          <w:b/>
          <w:iCs/>
          <w:color w:val="1F3864" w:themeColor="accent1" w:themeShade="80"/>
          <w:sz w:val="36"/>
          <w:szCs w:val="36"/>
        </w:rPr>
        <w:t>R</w:t>
      </w:r>
      <w:r>
        <w:rPr>
          <w:b/>
          <w:iCs/>
          <w:color w:val="1F3864" w:themeColor="accent1" w:themeShade="80"/>
          <w:sz w:val="36"/>
          <w:szCs w:val="36"/>
        </w:rPr>
        <w:t xml:space="preserve">elationship </w:t>
      </w:r>
      <w:r w:rsidR="004B6D62">
        <w:rPr>
          <w:b/>
          <w:iCs/>
          <w:color w:val="1F3864" w:themeColor="accent1" w:themeShade="80"/>
          <w:sz w:val="36"/>
          <w:szCs w:val="36"/>
        </w:rPr>
        <w:t>B</w:t>
      </w:r>
      <w:r>
        <w:rPr>
          <w:b/>
          <w:iCs/>
          <w:color w:val="1F3864" w:themeColor="accent1" w:themeShade="80"/>
          <w:sz w:val="36"/>
          <w:szCs w:val="36"/>
        </w:rPr>
        <w:t xml:space="preserve">etween </w:t>
      </w:r>
      <w:r w:rsidR="004B6D62">
        <w:rPr>
          <w:b/>
          <w:iCs/>
          <w:color w:val="1F3864" w:themeColor="accent1" w:themeShade="80"/>
          <w:sz w:val="36"/>
          <w:szCs w:val="36"/>
        </w:rPr>
        <w:t>I</w:t>
      </w:r>
      <w:r>
        <w:rPr>
          <w:b/>
          <w:iCs/>
          <w:color w:val="1F3864" w:themeColor="accent1" w:themeShade="80"/>
          <w:sz w:val="36"/>
          <w:szCs w:val="36"/>
        </w:rPr>
        <w:t xml:space="preserve">nterest </w:t>
      </w:r>
      <w:r w:rsidR="004B6D62">
        <w:rPr>
          <w:b/>
          <w:iCs/>
          <w:color w:val="1F3864" w:themeColor="accent1" w:themeShade="80"/>
          <w:sz w:val="36"/>
          <w:szCs w:val="36"/>
        </w:rPr>
        <w:t>R</w:t>
      </w:r>
      <w:r>
        <w:rPr>
          <w:b/>
          <w:iCs/>
          <w:color w:val="1F3864" w:themeColor="accent1" w:themeShade="80"/>
          <w:sz w:val="36"/>
          <w:szCs w:val="36"/>
        </w:rPr>
        <w:t xml:space="preserve">ates and </w:t>
      </w:r>
      <w:r w:rsidR="004B6D62">
        <w:rPr>
          <w:b/>
          <w:iCs/>
          <w:color w:val="1F3864" w:themeColor="accent1" w:themeShade="80"/>
          <w:sz w:val="36"/>
          <w:szCs w:val="36"/>
        </w:rPr>
        <w:t>B</w:t>
      </w:r>
      <w:r>
        <w:rPr>
          <w:b/>
          <w:iCs/>
          <w:color w:val="1F3864" w:themeColor="accent1" w:themeShade="80"/>
          <w:sz w:val="36"/>
          <w:szCs w:val="36"/>
        </w:rPr>
        <w:t xml:space="preserve">ond </w:t>
      </w:r>
      <w:r w:rsidR="004B6D62">
        <w:rPr>
          <w:b/>
          <w:iCs/>
          <w:color w:val="1F3864" w:themeColor="accent1" w:themeShade="80"/>
          <w:sz w:val="36"/>
          <w:szCs w:val="36"/>
        </w:rPr>
        <w:t>P</w:t>
      </w:r>
      <w:r>
        <w:rPr>
          <w:b/>
          <w:iCs/>
          <w:color w:val="1F3864" w:themeColor="accent1" w:themeShade="80"/>
          <w:sz w:val="36"/>
          <w:szCs w:val="36"/>
        </w:rPr>
        <w:t>rices</w:t>
      </w:r>
    </w:p>
    <w:p w14:paraId="2053C00F" w14:textId="15C87EE9" w:rsidR="00E57ECE" w:rsidRPr="0003775A" w:rsidRDefault="00E57ECE" w:rsidP="004B6D62">
      <w:pPr>
        <w:pStyle w:val="NoSpacing"/>
        <w:spacing w:line="276" w:lineRule="auto"/>
        <w:ind w:left="90" w:right="180"/>
        <w:jc w:val="both"/>
        <w:rPr>
          <w:rFonts w:ascii="Times New Roman" w:hAnsi="Times New Roman"/>
          <w:sz w:val="23"/>
          <w:szCs w:val="23"/>
        </w:rPr>
      </w:pPr>
      <w:r w:rsidRPr="0003775A">
        <w:rPr>
          <w:rFonts w:ascii="Times New Roman" w:hAnsi="Times New Roman"/>
          <w:sz w:val="23"/>
          <w:szCs w:val="23"/>
        </w:rPr>
        <w:t>Yield is a simple concept. It is the current income return you receive when, for instance, you own a bond, as measured by a percentage. If the bond you bought for $1,000 pays you $30 per year — that’s a 3 percent annual yield.</w:t>
      </w:r>
    </w:p>
    <w:p w14:paraId="1F2B72D7" w14:textId="6639E9A6" w:rsidR="00E57ECE" w:rsidRPr="0003775A" w:rsidRDefault="00E57ECE" w:rsidP="004B6D62">
      <w:pPr>
        <w:pStyle w:val="NoSpacing"/>
        <w:spacing w:line="276" w:lineRule="auto"/>
        <w:ind w:left="90" w:right="180"/>
        <w:jc w:val="both"/>
        <w:rPr>
          <w:rFonts w:ascii="Times New Roman" w:hAnsi="Times New Roman"/>
          <w:sz w:val="23"/>
          <w:szCs w:val="23"/>
        </w:rPr>
      </w:pPr>
    </w:p>
    <w:p w14:paraId="65C93AD3" w14:textId="72DD55D1" w:rsidR="00343A4C" w:rsidRPr="0003775A" w:rsidRDefault="00343A4C" w:rsidP="004B6D62">
      <w:pPr>
        <w:pStyle w:val="NoSpacing"/>
        <w:spacing w:line="276" w:lineRule="auto"/>
        <w:ind w:left="90" w:right="180"/>
        <w:jc w:val="both"/>
        <w:rPr>
          <w:rFonts w:ascii="Times New Roman" w:hAnsi="Times New Roman"/>
          <w:sz w:val="23"/>
          <w:szCs w:val="23"/>
        </w:rPr>
      </w:pPr>
      <w:r w:rsidRPr="0003775A">
        <w:rPr>
          <w:rFonts w:ascii="Times New Roman" w:hAnsi="Times New Roman"/>
          <w:sz w:val="23"/>
          <w:szCs w:val="23"/>
        </w:rPr>
        <w:t xml:space="preserve">Typically, bond prices and interest rates move in opposite directions. This means that when interest rates rise, bond prices tend to fall, and conversely, when interest rates decline, bond prices tend to rise. </w:t>
      </w:r>
    </w:p>
    <w:p w14:paraId="6D042F66" w14:textId="64BA9C0F" w:rsidR="00B26224" w:rsidRPr="0003775A" w:rsidRDefault="00B26224" w:rsidP="004B6D62">
      <w:pPr>
        <w:pStyle w:val="NoSpacing"/>
        <w:spacing w:line="276" w:lineRule="auto"/>
        <w:ind w:left="90" w:right="180"/>
        <w:jc w:val="both"/>
        <w:rPr>
          <w:rFonts w:ascii="Times New Roman" w:hAnsi="Times New Roman"/>
          <w:sz w:val="23"/>
          <w:szCs w:val="23"/>
        </w:rPr>
      </w:pPr>
    </w:p>
    <w:p w14:paraId="57323B10" w14:textId="6D4EF3B8" w:rsidR="00343A4C" w:rsidRPr="0003775A" w:rsidRDefault="00343A4C" w:rsidP="004B6D62">
      <w:pPr>
        <w:pStyle w:val="NoSpacing"/>
        <w:spacing w:line="276" w:lineRule="auto"/>
        <w:ind w:left="90" w:right="180"/>
        <w:jc w:val="both"/>
        <w:rPr>
          <w:rFonts w:ascii="Times New Roman" w:hAnsi="Times New Roman"/>
          <w:sz w:val="23"/>
          <w:szCs w:val="23"/>
        </w:rPr>
      </w:pPr>
      <w:r w:rsidRPr="0003775A">
        <w:rPr>
          <w:rFonts w:ascii="Times New Roman" w:hAnsi="Times New Roman"/>
          <w:sz w:val="23"/>
          <w:szCs w:val="23"/>
        </w:rPr>
        <w:t>Here’s an example:</w:t>
      </w:r>
    </w:p>
    <w:p w14:paraId="3D10B1A6" w14:textId="34444F92" w:rsidR="00343A4C" w:rsidRPr="0003775A" w:rsidRDefault="00343A4C" w:rsidP="004B6D62">
      <w:pPr>
        <w:pStyle w:val="NoSpacing"/>
        <w:spacing w:line="276" w:lineRule="auto"/>
        <w:ind w:left="90" w:right="180"/>
        <w:jc w:val="both"/>
        <w:rPr>
          <w:rFonts w:ascii="Times New Roman" w:hAnsi="Times New Roman"/>
          <w:sz w:val="23"/>
          <w:szCs w:val="23"/>
        </w:rPr>
      </w:pPr>
    </w:p>
    <w:p w14:paraId="447C092B" w14:textId="240A299D" w:rsidR="00343A4C" w:rsidRPr="0003775A" w:rsidRDefault="00343A4C" w:rsidP="004B6D62">
      <w:pPr>
        <w:pStyle w:val="NoSpacing"/>
        <w:spacing w:line="276" w:lineRule="auto"/>
        <w:ind w:left="90" w:right="180"/>
        <w:jc w:val="both"/>
        <w:rPr>
          <w:rFonts w:ascii="Times New Roman" w:hAnsi="Times New Roman"/>
          <w:sz w:val="23"/>
          <w:szCs w:val="23"/>
        </w:rPr>
      </w:pPr>
      <w:r w:rsidRPr="0003775A">
        <w:rPr>
          <w:rFonts w:ascii="Times New Roman" w:hAnsi="Times New Roman"/>
          <w:sz w:val="23"/>
          <w:szCs w:val="23"/>
        </w:rPr>
        <w:lastRenderedPageBreak/>
        <w:t>Suppose you invest $10,000 in a 10-</w:t>
      </w:r>
      <w:r w:rsidR="00A13900" w:rsidRPr="0003775A">
        <w:rPr>
          <w:rFonts w:ascii="Times New Roman" w:hAnsi="Times New Roman"/>
          <w:sz w:val="23"/>
          <w:szCs w:val="23"/>
        </w:rPr>
        <w:t>year U.S. Treasury bond with a 3</w:t>
      </w:r>
      <w:r w:rsidRPr="0003775A">
        <w:rPr>
          <w:rFonts w:ascii="Times New Roman" w:hAnsi="Times New Roman"/>
          <w:sz w:val="23"/>
          <w:szCs w:val="23"/>
        </w:rPr>
        <w:t>% yield. That interest rate is fixed, even as prevailing interest rates change with economic conditions—especially the rate of inflation. After five years, you decide to sell the bond, but interest rates have risen and si</w:t>
      </w:r>
      <w:r w:rsidR="00A13900" w:rsidRPr="0003775A">
        <w:rPr>
          <w:rFonts w:ascii="Times New Roman" w:hAnsi="Times New Roman"/>
          <w:sz w:val="23"/>
          <w:szCs w:val="23"/>
        </w:rPr>
        <w:t>milar new bonds are now paying 4</w:t>
      </w:r>
      <w:r w:rsidRPr="0003775A">
        <w:rPr>
          <w:rFonts w:ascii="Times New Roman" w:hAnsi="Times New Roman"/>
          <w:sz w:val="23"/>
          <w:szCs w:val="23"/>
        </w:rPr>
        <w:t>%. Obviously, no one wants to p</w:t>
      </w:r>
      <w:r w:rsidR="00A13900" w:rsidRPr="0003775A">
        <w:rPr>
          <w:rFonts w:ascii="Times New Roman" w:hAnsi="Times New Roman"/>
          <w:sz w:val="23"/>
          <w:szCs w:val="23"/>
        </w:rPr>
        <w:t xml:space="preserve">ay $10,000 for a bond yielding </w:t>
      </w:r>
      <w:r w:rsidR="00AF3678">
        <w:rPr>
          <w:rFonts w:ascii="Times New Roman" w:hAnsi="Times New Roman"/>
          <w:sz w:val="23"/>
          <w:szCs w:val="23"/>
        </w:rPr>
        <w:t>3</w:t>
      </w:r>
      <w:r w:rsidRPr="0003775A">
        <w:rPr>
          <w:rFonts w:ascii="Times New Roman" w:hAnsi="Times New Roman"/>
          <w:sz w:val="23"/>
          <w:szCs w:val="23"/>
        </w:rPr>
        <w:t>% when a higher-yielding bond costs the same. So</w:t>
      </w:r>
      <w:r w:rsidR="00690AC3">
        <w:rPr>
          <w:rFonts w:ascii="Times New Roman" w:hAnsi="Times New Roman"/>
          <w:sz w:val="23"/>
          <w:szCs w:val="23"/>
        </w:rPr>
        <w:t>,</w:t>
      </w:r>
      <w:r w:rsidRPr="0003775A">
        <w:rPr>
          <w:rFonts w:ascii="Times New Roman" w:hAnsi="Times New Roman"/>
          <w:sz w:val="23"/>
          <w:szCs w:val="23"/>
        </w:rPr>
        <w:t xml:space="preserve"> the bond’s value has decreased.</w:t>
      </w:r>
    </w:p>
    <w:p w14:paraId="6578849F" w14:textId="312A70D9" w:rsidR="00343A4C" w:rsidRPr="0003775A" w:rsidRDefault="00343A4C" w:rsidP="004B6D62">
      <w:pPr>
        <w:pStyle w:val="NoSpacing"/>
        <w:spacing w:line="276" w:lineRule="auto"/>
        <w:ind w:left="90" w:right="180"/>
        <w:jc w:val="both"/>
        <w:rPr>
          <w:rFonts w:ascii="Times New Roman" w:hAnsi="Times New Roman"/>
          <w:sz w:val="23"/>
          <w:szCs w:val="23"/>
        </w:rPr>
      </w:pPr>
    </w:p>
    <w:p w14:paraId="5B84A4F9" w14:textId="456DD6B4" w:rsidR="00343A4C" w:rsidRPr="0003775A" w:rsidRDefault="00343A4C" w:rsidP="004B6D62">
      <w:pPr>
        <w:pStyle w:val="NoSpacing"/>
        <w:spacing w:line="276" w:lineRule="auto"/>
        <w:ind w:left="90" w:right="180"/>
        <w:jc w:val="both"/>
        <w:rPr>
          <w:rFonts w:ascii="Times New Roman" w:hAnsi="Times New Roman"/>
          <w:sz w:val="23"/>
          <w:szCs w:val="23"/>
        </w:rPr>
      </w:pPr>
      <w:r w:rsidRPr="0003775A">
        <w:rPr>
          <w:rFonts w:ascii="Times New Roman" w:hAnsi="Times New Roman"/>
          <w:sz w:val="23"/>
          <w:szCs w:val="23"/>
        </w:rPr>
        <w:t>When interest rates decrease, the reverse happens. If interest rates had fallen and new Treasury bonds with si</w:t>
      </w:r>
      <w:r w:rsidR="00A13900" w:rsidRPr="0003775A">
        <w:rPr>
          <w:rFonts w:ascii="Times New Roman" w:hAnsi="Times New Roman"/>
          <w:sz w:val="23"/>
          <w:szCs w:val="23"/>
        </w:rPr>
        <w:t>milar maturities were yielding 2</w:t>
      </w:r>
      <w:r w:rsidRPr="0003775A">
        <w:rPr>
          <w:rFonts w:ascii="Times New Roman" w:hAnsi="Times New Roman"/>
          <w:sz w:val="23"/>
          <w:szCs w:val="23"/>
        </w:rPr>
        <w:t xml:space="preserve">%, you could most </w:t>
      </w:r>
      <w:r w:rsidR="00A13900" w:rsidRPr="0003775A">
        <w:rPr>
          <w:rFonts w:ascii="Times New Roman" w:hAnsi="Times New Roman"/>
          <w:sz w:val="23"/>
          <w:szCs w:val="23"/>
        </w:rPr>
        <w:t>likely sell your 3</w:t>
      </w:r>
      <w:r w:rsidRPr="0003775A">
        <w:rPr>
          <w:rFonts w:ascii="Times New Roman" w:hAnsi="Times New Roman"/>
          <w:sz w:val="23"/>
          <w:szCs w:val="23"/>
        </w:rPr>
        <w:t xml:space="preserve">% bond for more than your purchase price. When evaluating your bond related investments an important piece of information is a statistic known as “duration.”  In </w:t>
      </w:r>
      <w:hyperlink r:id="rId12" w:history="1">
        <w:r w:rsidRPr="0003775A">
          <w:rPr>
            <w:rFonts w:ascii="Times New Roman" w:hAnsi="Times New Roman"/>
            <w:sz w:val="23"/>
            <w:szCs w:val="23"/>
          </w:rPr>
          <w:t>finance</w:t>
        </w:r>
      </w:hyperlink>
      <w:r w:rsidRPr="0003775A">
        <w:rPr>
          <w:rFonts w:ascii="Times New Roman" w:hAnsi="Times New Roman"/>
          <w:sz w:val="23"/>
          <w:szCs w:val="23"/>
        </w:rPr>
        <w:t>, the duration of a financial asset that consists of fixed cash flows, like a bond, is the weighted average of the times until those fixed cash flows are received.</w:t>
      </w:r>
    </w:p>
    <w:p w14:paraId="0AB9BCCD" w14:textId="60C241D6" w:rsidR="00343A4C" w:rsidRPr="0003775A" w:rsidRDefault="00343A4C" w:rsidP="004B6D62">
      <w:pPr>
        <w:pStyle w:val="NoSpacing"/>
        <w:tabs>
          <w:tab w:val="left" w:pos="180"/>
        </w:tabs>
        <w:spacing w:line="276" w:lineRule="auto"/>
        <w:ind w:left="90" w:right="180"/>
        <w:jc w:val="both"/>
        <w:rPr>
          <w:rFonts w:ascii="Times New Roman" w:hAnsi="Times New Roman"/>
          <w:sz w:val="23"/>
          <w:szCs w:val="23"/>
        </w:rPr>
      </w:pPr>
    </w:p>
    <w:p w14:paraId="552374BF" w14:textId="0EAB9FC6" w:rsidR="00E92EC1" w:rsidRPr="0003775A" w:rsidRDefault="00343A4C" w:rsidP="004B6D62">
      <w:pPr>
        <w:pStyle w:val="NoSpacing"/>
        <w:tabs>
          <w:tab w:val="left" w:pos="180"/>
        </w:tabs>
        <w:spacing w:line="276" w:lineRule="auto"/>
        <w:ind w:left="90" w:right="180"/>
        <w:jc w:val="both"/>
        <w:rPr>
          <w:rFonts w:ascii="Times New Roman" w:hAnsi="Times New Roman"/>
          <w:sz w:val="23"/>
          <w:szCs w:val="23"/>
        </w:rPr>
      </w:pPr>
      <w:r w:rsidRPr="0003775A">
        <w:rPr>
          <w:rFonts w:ascii="Times New Roman" w:hAnsi="Times New Roman"/>
          <w:sz w:val="23"/>
          <w:szCs w:val="23"/>
        </w:rPr>
        <w:t xml:space="preserve">Duration also measures the price sensitivity to yield, the percentage change in price for a parallel shift in yields.  Simply said, the longer the duration, the more sensitive a bond is to changes in rates. </w:t>
      </w:r>
    </w:p>
    <w:p w14:paraId="0FAACEC5" w14:textId="62B026D8" w:rsidR="00E57ECE" w:rsidRPr="0003775A" w:rsidRDefault="00E57ECE" w:rsidP="004B6D62">
      <w:pPr>
        <w:pStyle w:val="NoSpacing"/>
        <w:tabs>
          <w:tab w:val="left" w:pos="180"/>
        </w:tabs>
        <w:spacing w:line="276" w:lineRule="auto"/>
        <w:ind w:left="90" w:right="180"/>
        <w:jc w:val="both"/>
        <w:rPr>
          <w:rFonts w:ascii="Times New Roman" w:hAnsi="Times New Roman"/>
          <w:sz w:val="23"/>
          <w:szCs w:val="23"/>
        </w:rPr>
      </w:pPr>
    </w:p>
    <w:p w14:paraId="677A407F" w14:textId="1ACF09FB" w:rsidR="00877AF5" w:rsidRPr="0003775A" w:rsidRDefault="004110CD" w:rsidP="004B6D62">
      <w:pPr>
        <w:spacing w:after="0"/>
        <w:ind w:left="90" w:right="180"/>
        <w:jc w:val="both"/>
        <w:rPr>
          <w:rFonts w:ascii="Times New Roman" w:eastAsia="Calibri" w:hAnsi="Times New Roman" w:cs="Times New Roman"/>
          <w:sz w:val="23"/>
          <w:szCs w:val="23"/>
        </w:rPr>
      </w:pPr>
      <w:r>
        <w:rPr>
          <w:rFonts w:ascii="Times New Roman" w:eastAsia="Calibri" w:hAnsi="Times New Roman" w:cs="Times New Roman"/>
          <w:noProof/>
          <w:sz w:val="23"/>
          <w:szCs w:val="23"/>
        </w:rPr>
        <w:drawing>
          <wp:anchor distT="0" distB="0" distL="114300" distR="114300" simplePos="0" relativeHeight="251694080" behindDoc="0" locked="0" layoutInCell="1" allowOverlap="1" wp14:anchorId="063FD931" wp14:editId="42074B2D">
            <wp:simplePos x="0" y="0"/>
            <wp:positionH relativeFrom="column">
              <wp:posOffset>-45720</wp:posOffset>
            </wp:positionH>
            <wp:positionV relativeFrom="paragraph">
              <wp:posOffset>1036035</wp:posOffset>
            </wp:positionV>
            <wp:extent cx="3436620" cy="2450465"/>
            <wp:effectExtent l="19050" t="19050" r="11430" b="2603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6620" cy="2450465"/>
                    </a:xfrm>
                    <a:prstGeom prst="rect">
                      <a:avLst/>
                    </a:prstGeom>
                    <a:noFill/>
                    <a:ln>
                      <a:solidFill>
                        <a:schemeClr val="accent5">
                          <a:lumMod val="75000"/>
                        </a:schemeClr>
                      </a:solidFill>
                    </a:ln>
                  </pic:spPr>
                </pic:pic>
              </a:graphicData>
            </a:graphic>
            <wp14:sizeRelH relativeFrom="page">
              <wp14:pctWidth>0</wp14:pctWidth>
            </wp14:sizeRelH>
            <wp14:sizeRelV relativeFrom="page">
              <wp14:pctHeight>0</wp14:pctHeight>
            </wp14:sizeRelV>
          </wp:anchor>
        </w:drawing>
      </w:r>
      <w:r w:rsidR="00A22E2B" w:rsidRPr="0003775A">
        <w:rPr>
          <w:rFonts w:ascii="Times New Roman" w:eastAsia="Calibri" w:hAnsi="Times New Roman" w:cs="Times New Roman"/>
          <w:sz w:val="23"/>
          <w:szCs w:val="23"/>
        </w:rPr>
        <w:t xml:space="preserve">Interest rate risk can be simplified by the following statement:  when interest rates rise, bond prices fall; conversely, when rates decline, bond prices rise. Therefore, the longer the time to a bond's maturity, the greater its </w:t>
      </w:r>
      <w:hyperlink r:id="rId14" w:history="1">
        <w:r w:rsidR="00A22E2B" w:rsidRPr="0003775A">
          <w:rPr>
            <w:rFonts w:ascii="Times New Roman" w:eastAsia="Calibri" w:hAnsi="Times New Roman" w:cs="Times New Roman"/>
            <w:sz w:val="23"/>
            <w:szCs w:val="23"/>
          </w:rPr>
          <w:t>interest rate</w:t>
        </w:r>
      </w:hyperlink>
      <w:r w:rsidR="00A22E2B" w:rsidRPr="0003775A">
        <w:rPr>
          <w:rFonts w:ascii="Times New Roman" w:eastAsia="Calibri" w:hAnsi="Times New Roman" w:cs="Times New Roman"/>
          <w:sz w:val="23"/>
          <w:szCs w:val="23"/>
        </w:rPr>
        <w:t xml:space="preserve"> risk.</w:t>
      </w:r>
    </w:p>
    <w:p w14:paraId="3443A890" w14:textId="22A6764E" w:rsidR="00DF34C2" w:rsidRDefault="00A22E2B" w:rsidP="004B6D62">
      <w:pPr>
        <w:pStyle w:val="NoSpacing"/>
        <w:spacing w:line="276" w:lineRule="auto"/>
        <w:ind w:left="90" w:right="180"/>
        <w:jc w:val="both"/>
        <w:rPr>
          <w:rFonts w:ascii="Times New Roman" w:hAnsi="Times New Roman"/>
          <w:sz w:val="23"/>
          <w:szCs w:val="23"/>
        </w:rPr>
      </w:pPr>
      <w:r w:rsidRPr="0003775A">
        <w:rPr>
          <w:rFonts w:ascii="Times New Roman" w:hAnsi="Times New Roman"/>
          <w:sz w:val="23"/>
          <w:szCs w:val="23"/>
        </w:rPr>
        <w:lastRenderedPageBreak/>
        <w:t xml:space="preserve">Many investors often put a high percentage of their </w:t>
      </w:r>
    </w:p>
    <w:p w14:paraId="12821710" w14:textId="5CB203AB" w:rsidR="00E92EC1" w:rsidRPr="0003775A" w:rsidRDefault="00A22E2B" w:rsidP="004B6D62">
      <w:pPr>
        <w:pStyle w:val="NoSpacing"/>
        <w:spacing w:line="276" w:lineRule="auto"/>
        <w:ind w:left="90" w:right="180"/>
        <w:jc w:val="both"/>
        <w:rPr>
          <w:rFonts w:ascii="Times New Roman" w:hAnsi="Times New Roman"/>
          <w:sz w:val="23"/>
          <w:szCs w:val="23"/>
        </w:rPr>
      </w:pPr>
      <w:r w:rsidRPr="0003775A">
        <w:rPr>
          <w:rFonts w:ascii="Times New Roman" w:hAnsi="Times New Roman"/>
          <w:sz w:val="23"/>
          <w:szCs w:val="23"/>
        </w:rPr>
        <w:t>portfolios in bonds for income or to hopefully generate more stable types of returns. This holds especially true when they are very worried about the economy or other financial issues, or after they have taken a beating in stocks. Unfortunately, in a rising interest rate environment, that logic could present problems.</w:t>
      </w:r>
    </w:p>
    <w:p w14:paraId="549DE06D" w14:textId="77777777" w:rsidR="00AE2848" w:rsidRPr="00E57ECE" w:rsidRDefault="00AE2848" w:rsidP="004B6D62">
      <w:pPr>
        <w:pStyle w:val="NoSpacing"/>
        <w:spacing w:line="276" w:lineRule="auto"/>
        <w:ind w:left="90" w:right="180"/>
        <w:jc w:val="both"/>
        <w:rPr>
          <w:rFonts w:ascii="Times New Roman" w:hAnsi="Times New Roman"/>
          <w:sz w:val="24"/>
          <w:szCs w:val="24"/>
        </w:rPr>
      </w:pPr>
    </w:p>
    <w:p w14:paraId="5C9B3BC1" w14:textId="540390A6" w:rsidR="00AE4192" w:rsidRPr="00224E83" w:rsidRDefault="00AE4192" w:rsidP="004B6D62">
      <w:pPr>
        <w:shd w:val="clear" w:color="auto" w:fill="B4C6E7" w:themeFill="accent1" w:themeFillTint="66"/>
        <w:spacing w:before="120" w:after="100" w:afterAutospacing="1"/>
        <w:ind w:left="90" w:right="180"/>
        <w:jc w:val="center"/>
        <w:rPr>
          <w:b/>
          <w:iCs/>
          <w:color w:val="1F3864" w:themeColor="accent1" w:themeShade="80"/>
          <w:sz w:val="36"/>
          <w:szCs w:val="36"/>
        </w:rPr>
      </w:pPr>
      <w:r w:rsidRPr="00224E83">
        <w:rPr>
          <w:b/>
          <w:iCs/>
          <w:color w:val="1F3864" w:themeColor="accent1" w:themeShade="80"/>
          <w:sz w:val="36"/>
          <w:szCs w:val="36"/>
        </w:rPr>
        <w:t xml:space="preserve">Four Recommendations to </w:t>
      </w:r>
      <w:r w:rsidR="003C245D" w:rsidRPr="00224E83">
        <w:rPr>
          <w:b/>
          <w:iCs/>
          <w:color w:val="1F3864" w:themeColor="accent1" w:themeShade="80"/>
          <w:sz w:val="36"/>
          <w:szCs w:val="36"/>
        </w:rPr>
        <w:br/>
      </w:r>
      <w:r w:rsidRPr="00224E83">
        <w:rPr>
          <w:b/>
          <w:iCs/>
          <w:color w:val="1F3864" w:themeColor="accent1" w:themeShade="80"/>
          <w:sz w:val="36"/>
          <w:szCs w:val="36"/>
        </w:rPr>
        <w:t>Consider for Investors</w:t>
      </w:r>
    </w:p>
    <w:p w14:paraId="4A50316E" w14:textId="3C10B9DA" w:rsidR="00AE4192" w:rsidRPr="003E5A10" w:rsidRDefault="00AE4192" w:rsidP="00AE2848">
      <w:pPr>
        <w:pStyle w:val="ListParagraph"/>
        <w:numPr>
          <w:ilvl w:val="0"/>
          <w:numId w:val="1"/>
        </w:numPr>
        <w:spacing w:before="40" w:after="240"/>
        <w:ind w:left="450" w:right="180"/>
        <w:jc w:val="both"/>
        <w:rPr>
          <w:rFonts w:ascii="Times New Roman" w:hAnsi="Times New Roman"/>
          <w:sz w:val="23"/>
          <w:szCs w:val="23"/>
        </w:rPr>
      </w:pPr>
      <w:r w:rsidRPr="003E5A10">
        <w:rPr>
          <w:rFonts w:ascii="Times New Roman" w:hAnsi="Times New Roman"/>
          <w:b/>
          <w:color w:val="2F5496" w:themeColor="accent1" w:themeShade="BF"/>
          <w:sz w:val="23"/>
          <w:szCs w:val="23"/>
        </w:rPr>
        <w:t>Maintain complete liquidity for all short-term and near-term needs.</w:t>
      </w:r>
      <w:r w:rsidRPr="003E5A10">
        <w:rPr>
          <w:rFonts w:ascii="Times New Roman" w:hAnsi="Times New Roman"/>
          <w:sz w:val="23"/>
          <w:szCs w:val="23"/>
        </w:rPr>
        <w:t xml:space="preserve">  Liquid accounts in today’s interest rate environment will probably not keep pace with inflation. Although it is always important to maintain a liquid component in your portfolio, you should think about what major expenses you will incur in the next two years and consider keeping a larger than typical liquid pool of assets. </w:t>
      </w:r>
    </w:p>
    <w:p w14:paraId="01852C65" w14:textId="77777777" w:rsidR="00AE4192" w:rsidRPr="003E5A10" w:rsidRDefault="00AE4192" w:rsidP="00AE2848">
      <w:pPr>
        <w:pStyle w:val="ListParagraph"/>
        <w:spacing w:before="40" w:after="240"/>
        <w:ind w:left="450" w:right="180" w:hanging="360"/>
        <w:jc w:val="both"/>
        <w:rPr>
          <w:rFonts w:ascii="Times New Roman" w:hAnsi="Times New Roman"/>
          <w:sz w:val="23"/>
          <w:szCs w:val="23"/>
        </w:rPr>
      </w:pPr>
    </w:p>
    <w:p w14:paraId="6D362AD6" w14:textId="03523FCE" w:rsidR="00AE4192" w:rsidRPr="003E5A10" w:rsidRDefault="00AE4192" w:rsidP="00AE2848">
      <w:pPr>
        <w:pStyle w:val="ListParagraph"/>
        <w:numPr>
          <w:ilvl w:val="0"/>
          <w:numId w:val="1"/>
        </w:numPr>
        <w:tabs>
          <w:tab w:val="left" w:pos="180"/>
        </w:tabs>
        <w:spacing w:before="40" w:after="240"/>
        <w:ind w:left="450" w:right="180"/>
        <w:jc w:val="both"/>
        <w:rPr>
          <w:rFonts w:ascii="Times New Roman" w:hAnsi="Times New Roman"/>
          <w:sz w:val="23"/>
          <w:szCs w:val="23"/>
        </w:rPr>
      </w:pPr>
      <w:r w:rsidRPr="003E5A10">
        <w:rPr>
          <w:rFonts w:ascii="Times New Roman" w:hAnsi="Times New Roman"/>
          <w:b/>
          <w:color w:val="2F5496" w:themeColor="accent1" w:themeShade="BF"/>
          <w:sz w:val="23"/>
          <w:szCs w:val="23"/>
        </w:rPr>
        <w:t>Choose shorter</w:t>
      </w:r>
      <w:r w:rsidR="00224E83" w:rsidRPr="003E5A10">
        <w:rPr>
          <w:rFonts w:ascii="Times New Roman" w:hAnsi="Times New Roman"/>
          <w:b/>
          <w:color w:val="2F5496" w:themeColor="accent1" w:themeShade="BF"/>
          <w:sz w:val="23"/>
          <w:szCs w:val="23"/>
        </w:rPr>
        <w:t xml:space="preserve"> </w:t>
      </w:r>
      <w:r w:rsidRPr="003E5A10">
        <w:rPr>
          <w:rFonts w:ascii="Times New Roman" w:hAnsi="Times New Roman"/>
          <w:b/>
          <w:color w:val="2F5496" w:themeColor="accent1" w:themeShade="BF"/>
          <w:sz w:val="23"/>
          <w:szCs w:val="23"/>
        </w:rPr>
        <w:t>terms over high yields.</w:t>
      </w:r>
      <w:r w:rsidRPr="003E5A10">
        <w:rPr>
          <w:rFonts w:ascii="Times New Roman" w:hAnsi="Times New Roman"/>
          <w:b/>
          <w:sz w:val="23"/>
          <w:szCs w:val="23"/>
        </w:rPr>
        <w:t xml:space="preserve">  </w:t>
      </w:r>
      <w:r w:rsidRPr="003E5A10">
        <w:rPr>
          <w:rFonts w:ascii="Times New Roman" w:hAnsi="Times New Roman"/>
          <w:sz w:val="23"/>
          <w:szCs w:val="23"/>
        </w:rPr>
        <w:t>Although shorter term bonds yield less than longer term bonds, they typically lose less value when rates rise.</w:t>
      </w:r>
    </w:p>
    <w:p w14:paraId="5216372C" w14:textId="1C86CDA7" w:rsidR="00AE4192" w:rsidRPr="003E5A10" w:rsidRDefault="00AE4192" w:rsidP="00AE2848">
      <w:pPr>
        <w:pStyle w:val="ListParagraph"/>
        <w:tabs>
          <w:tab w:val="left" w:pos="180"/>
        </w:tabs>
        <w:spacing w:before="40" w:after="240"/>
        <w:ind w:left="450" w:right="180" w:hanging="360"/>
        <w:jc w:val="both"/>
        <w:rPr>
          <w:rFonts w:ascii="Times New Roman" w:hAnsi="Times New Roman"/>
          <w:sz w:val="23"/>
          <w:szCs w:val="23"/>
        </w:rPr>
      </w:pPr>
    </w:p>
    <w:p w14:paraId="394F6E53" w14:textId="5390A1D8" w:rsidR="00AE4192" w:rsidRPr="003E5A10" w:rsidRDefault="00AE4192" w:rsidP="00AE2848">
      <w:pPr>
        <w:pStyle w:val="ListParagraph"/>
        <w:numPr>
          <w:ilvl w:val="0"/>
          <w:numId w:val="1"/>
        </w:numPr>
        <w:tabs>
          <w:tab w:val="left" w:pos="180"/>
        </w:tabs>
        <w:spacing w:before="40" w:after="240"/>
        <w:ind w:left="450" w:right="180"/>
        <w:jc w:val="both"/>
        <w:rPr>
          <w:rFonts w:ascii="Times New Roman" w:hAnsi="Times New Roman"/>
          <w:sz w:val="23"/>
          <w:szCs w:val="23"/>
        </w:rPr>
      </w:pPr>
      <w:r w:rsidRPr="003E5A10">
        <w:rPr>
          <w:rFonts w:ascii="Times New Roman" w:hAnsi="Times New Roman"/>
          <w:b/>
          <w:color w:val="2F5496" w:themeColor="accent1" w:themeShade="BF"/>
          <w:sz w:val="23"/>
          <w:szCs w:val="23"/>
        </w:rPr>
        <w:t>Review all of your income</w:t>
      </w:r>
      <w:r w:rsidR="00224E83" w:rsidRPr="003E5A10">
        <w:rPr>
          <w:rFonts w:ascii="Times New Roman" w:hAnsi="Times New Roman"/>
          <w:b/>
          <w:color w:val="2F5496" w:themeColor="accent1" w:themeShade="BF"/>
          <w:sz w:val="23"/>
          <w:szCs w:val="23"/>
        </w:rPr>
        <w:t>-</w:t>
      </w:r>
      <w:r w:rsidRPr="003E5A10">
        <w:rPr>
          <w:rFonts w:ascii="Times New Roman" w:hAnsi="Times New Roman"/>
          <w:b/>
          <w:color w:val="2F5496" w:themeColor="accent1" w:themeShade="BF"/>
          <w:sz w:val="23"/>
          <w:szCs w:val="23"/>
        </w:rPr>
        <w:t>producing investments.</w:t>
      </w:r>
      <w:r w:rsidRPr="003E5A10">
        <w:rPr>
          <w:rFonts w:ascii="Times New Roman" w:hAnsi="Times New Roman"/>
          <w:b/>
          <w:sz w:val="23"/>
          <w:szCs w:val="23"/>
        </w:rPr>
        <w:t xml:space="preserve">  </w:t>
      </w:r>
      <w:r w:rsidRPr="003E5A10">
        <w:rPr>
          <w:rFonts w:ascii="Times New Roman" w:hAnsi="Times New Roman"/>
          <w:sz w:val="23"/>
          <w:szCs w:val="23"/>
        </w:rPr>
        <w:t>As wealth managers, we help our clients review their income</w:t>
      </w:r>
      <w:r w:rsidR="00224E83" w:rsidRPr="003E5A10">
        <w:rPr>
          <w:rFonts w:ascii="Times New Roman" w:hAnsi="Times New Roman"/>
          <w:sz w:val="23"/>
          <w:szCs w:val="23"/>
        </w:rPr>
        <w:t>-</w:t>
      </w:r>
      <w:r w:rsidRPr="003E5A10">
        <w:rPr>
          <w:rFonts w:ascii="Times New Roman" w:hAnsi="Times New Roman"/>
          <w:sz w:val="23"/>
          <w:szCs w:val="23"/>
        </w:rPr>
        <w:t>producing investments.  Our primary goal is to match your portfolio to your timelines and personal financial situation.</w:t>
      </w:r>
    </w:p>
    <w:p w14:paraId="374829BD" w14:textId="27F5ABC4" w:rsidR="00AE4192" w:rsidRPr="003E5A10" w:rsidRDefault="00AE4192" w:rsidP="00AE2848">
      <w:pPr>
        <w:pStyle w:val="ListParagraph"/>
        <w:tabs>
          <w:tab w:val="left" w:pos="180"/>
        </w:tabs>
        <w:spacing w:before="40" w:after="240"/>
        <w:ind w:left="450" w:right="180" w:hanging="360"/>
        <w:jc w:val="both"/>
        <w:rPr>
          <w:rFonts w:ascii="Times New Roman" w:hAnsi="Times New Roman"/>
          <w:b/>
          <w:sz w:val="23"/>
          <w:szCs w:val="23"/>
        </w:rPr>
      </w:pPr>
    </w:p>
    <w:p w14:paraId="66760B5A" w14:textId="674555A7" w:rsidR="00AE4192" w:rsidRPr="003E5A10" w:rsidRDefault="00AE4192" w:rsidP="00AE2848">
      <w:pPr>
        <w:pStyle w:val="ListParagraph"/>
        <w:numPr>
          <w:ilvl w:val="0"/>
          <w:numId w:val="1"/>
        </w:numPr>
        <w:tabs>
          <w:tab w:val="left" w:pos="180"/>
        </w:tabs>
        <w:spacing w:before="40" w:after="240"/>
        <w:ind w:left="450" w:right="180"/>
        <w:jc w:val="both"/>
        <w:rPr>
          <w:rFonts w:ascii="Times New Roman" w:hAnsi="Times New Roman"/>
          <w:sz w:val="23"/>
          <w:szCs w:val="23"/>
        </w:rPr>
      </w:pPr>
      <w:r w:rsidRPr="003E5A10">
        <w:rPr>
          <w:rFonts w:ascii="Times New Roman" w:hAnsi="Times New Roman"/>
          <w:b/>
          <w:color w:val="2F5496" w:themeColor="accent1" w:themeShade="BF"/>
          <w:sz w:val="23"/>
          <w:szCs w:val="23"/>
        </w:rPr>
        <w:t>Monitor your portfolio regularly.</w:t>
      </w:r>
      <w:r w:rsidRPr="003E5A10">
        <w:rPr>
          <w:rFonts w:ascii="Times New Roman" w:hAnsi="Times New Roman"/>
          <w:sz w:val="23"/>
          <w:szCs w:val="23"/>
        </w:rPr>
        <w:t xml:space="preserve"> </w:t>
      </w:r>
      <w:r w:rsidR="00BC3009" w:rsidRPr="003E5A10">
        <w:rPr>
          <w:rFonts w:ascii="Times New Roman" w:hAnsi="Times New Roman"/>
          <w:sz w:val="23"/>
          <w:szCs w:val="23"/>
        </w:rPr>
        <w:t xml:space="preserve">  </w:t>
      </w:r>
      <w:r w:rsidRPr="003E5A10">
        <w:rPr>
          <w:rFonts w:ascii="Times New Roman" w:hAnsi="Times New Roman"/>
          <w:sz w:val="23"/>
          <w:szCs w:val="23"/>
        </w:rPr>
        <w:t>Interest rates can move quickly or slowly. We stay apprised of the Fed and its decisions on interest rates so we can suggest adjustments to your portfolio as needed in a timely and educated manner.</w:t>
      </w:r>
    </w:p>
    <w:p w14:paraId="2BE3A62F" w14:textId="77777777" w:rsidR="00C55E63" w:rsidRPr="003E5A10" w:rsidRDefault="00C55E63" w:rsidP="004B6D62">
      <w:pPr>
        <w:pStyle w:val="ListParagraph"/>
        <w:tabs>
          <w:tab w:val="left" w:pos="180"/>
        </w:tabs>
        <w:spacing w:before="40" w:after="240"/>
        <w:ind w:left="90" w:right="180"/>
        <w:jc w:val="both"/>
        <w:rPr>
          <w:rFonts w:ascii="Times New Roman" w:hAnsi="Times New Roman"/>
          <w:sz w:val="24"/>
          <w:szCs w:val="24"/>
        </w:rPr>
      </w:pPr>
    </w:p>
    <w:p w14:paraId="353381A3" w14:textId="0A9F46FC" w:rsidR="00953A4C" w:rsidRPr="00224E83" w:rsidRDefault="00953A4C" w:rsidP="004B6D62">
      <w:pPr>
        <w:shd w:val="clear" w:color="auto" w:fill="B4C6E7" w:themeFill="accent1" w:themeFillTint="66"/>
        <w:spacing w:before="120" w:after="100" w:afterAutospacing="1"/>
        <w:ind w:left="90" w:right="180"/>
        <w:jc w:val="center"/>
        <w:rPr>
          <w:b/>
          <w:iCs/>
          <w:color w:val="1F3864" w:themeColor="accent1" w:themeShade="80"/>
          <w:sz w:val="36"/>
          <w:szCs w:val="36"/>
        </w:rPr>
      </w:pPr>
      <w:r w:rsidRPr="00224E83">
        <w:rPr>
          <w:b/>
          <w:iCs/>
          <w:color w:val="1F3864" w:themeColor="accent1" w:themeShade="80"/>
          <w:sz w:val="36"/>
          <w:szCs w:val="36"/>
        </w:rPr>
        <w:lastRenderedPageBreak/>
        <w:t>Closing Thoughts</w:t>
      </w:r>
    </w:p>
    <w:p w14:paraId="2B60557E" w14:textId="44A5207C" w:rsidR="00953A4C" w:rsidRPr="0003775A" w:rsidRDefault="00953A4C" w:rsidP="004B6D62">
      <w:pPr>
        <w:spacing w:before="40" w:after="240" w:line="276" w:lineRule="auto"/>
        <w:ind w:left="90" w:right="180"/>
        <w:jc w:val="both"/>
        <w:rPr>
          <w:rFonts w:ascii="Times New Roman" w:eastAsia="Calibri" w:hAnsi="Times New Roman" w:cs="Times New Roman"/>
          <w:sz w:val="23"/>
          <w:szCs w:val="23"/>
        </w:rPr>
      </w:pPr>
      <w:r w:rsidRPr="0003775A">
        <w:rPr>
          <w:rFonts w:ascii="Times New Roman" w:eastAsia="Calibri" w:hAnsi="Times New Roman" w:cs="Times New Roman"/>
          <w:sz w:val="23"/>
          <w:szCs w:val="23"/>
        </w:rPr>
        <w:t xml:space="preserve">Interest rate risk can be complex. Take, for example, the nuances to reviewing duration, including how to compare the different types of bonds, like investment grade corporate bonds and treasuries. Just because they have the same level of duration, this does not mean that any two bonds will respond identically to interest rate changes. In the case of corporate bonds, their prices are also influenced by the credit quality of the company. </w:t>
      </w:r>
    </w:p>
    <w:p w14:paraId="349DD796" w14:textId="592A73DA" w:rsidR="009D7363" w:rsidRPr="0003775A" w:rsidRDefault="00953A4C" w:rsidP="004B6D62">
      <w:pPr>
        <w:spacing w:before="40" w:after="240" w:line="276" w:lineRule="auto"/>
        <w:ind w:left="90" w:right="180"/>
        <w:jc w:val="both"/>
        <w:rPr>
          <w:rFonts w:ascii="Times New Roman" w:eastAsia="Calibri" w:hAnsi="Times New Roman" w:cs="Times New Roman"/>
          <w:sz w:val="23"/>
          <w:szCs w:val="23"/>
        </w:rPr>
      </w:pPr>
      <w:r w:rsidRPr="0003775A">
        <w:rPr>
          <w:rFonts w:ascii="Times New Roman" w:eastAsia="Calibri" w:hAnsi="Times New Roman" w:cs="Times New Roman"/>
          <w:sz w:val="23"/>
          <w:szCs w:val="23"/>
        </w:rPr>
        <w:t>This is where we can help. When overseeing</w:t>
      </w:r>
      <w:r w:rsidR="009D7363" w:rsidRPr="0003775A">
        <w:rPr>
          <w:rFonts w:ascii="Times New Roman" w:eastAsia="Calibri" w:hAnsi="Times New Roman" w:cs="Times New Roman"/>
          <w:sz w:val="23"/>
          <w:szCs w:val="23"/>
        </w:rPr>
        <w:t xml:space="preserve"> the</w:t>
      </w:r>
      <w:r w:rsidRPr="0003775A">
        <w:rPr>
          <w:rFonts w:ascii="Times New Roman" w:eastAsia="Calibri" w:hAnsi="Times New Roman" w:cs="Times New Roman"/>
          <w:sz w:val="23"/>
          <w:szCs w:val="23"/>
        </w:rPr>
        <w:t xml:space="preserve"> investment</w:t>
      </w:r>
      <w:r w:rsidR="009D7363" w:rsidRPr="0003775A">
        <w:rPr>
          <w:rFonts w:ascii="Times New Roman" w:eastAsia="Calibri" w:hAnsi="Times New Roman" w:cs="Times New Roman"/>
          <w:sz w:val="23"/>
          <w:szCs w:val="23"/>
        </w:rPr>
        <w:t>s</w:t>
      </w:r>
      <w:r w:rsidR="00690AC3">
        <w:rPr>
          <w:rFonts w:ascii="Times New Roman" w:eastAsia="Calibri" w:hAnsi="Times New Roman" w:cs="Times New Roman"/>
          <w:sz w:val="23"/>
          <w:szCs w:val="23"/>
        </w:rPr>
        <w:t>,</w:t>
      </w:r>
      <w:r w:rsidRPr="0003775A">
        <w:rPr>
          <w:rFonts w:ascii="Times New Roman" w:eastAsia="Calibri" w:hAnsi="Times New Roman" w:cs="Times New Roman"/>
          <w:sz w:val="23"/>
          <w:szCs w:val="23"/>
        </w:rPr>
        <w:t xml:space="preserve"> we recommend to clients, we take </w:t>
      </w:r>
      <w:r w:rsidR="00C55E63" w:rsidRPr="0003775A">
        <w:rPr>
          <w:rFonts w:ascii="Times New Roman" w:eastAsia="Calibri" w:hAnsi="Times New Roman" w:cs="Times New Roman"/>
          <w:sz w:val="23"/>
          <w:szCs w:val="23"/>
        </w:rPr>
        <w:t xml:space="preserve">economic growth and </w:t>
      </w:r>
      <w:r w:rsidRPr="0003775A">
        <w:rPr>
          <w:rFonts w:ascii="Times New Roman" w:eastAsia="Calibri" w:hAnsi="Times New Roman" w:cs="Times New Roman"/>
          <w:sz w:val="23"/>
          <w:szCs w:val="23"/>
        </w:rPr>
        <w:t xml:space="preserve">rising interest rates into consideration. </w:t>
      </w:r>
    </w:p>
    <w:p w14:paraId="622C64BF" w14:textId="364EC85A" w:rsidR="00596CAD" w:rsidRPr="0003775A" w:rsidRDefault="00953A4C" w:rsidP="004B6D62">
      <w:pPr>
        <w:spacing w:before="40" w:after="240" w:line="276" w:lineRule="auto"/>
        <w:ind w:left="90" w:right="180"/>
        <w:jc w:val="both"/>
        <w:rPr>
          <w:rFonts w:ascii="Times New Roman" w:eastAsia="Calibri" w:hAnsi="Times New Roman" w:cs="Times New Roman"/>
          <w:sz w:val="23"/>
          <w:szCs w:val="23"/>
        </w:rPr>
      </w:pPr>
      <w:r w:rsidRPr="0003775A">
        <w:rPr>
          <w:rFonts w:ascii="Times New Roman" w:eastAsia="Calibri" w:hAnsi="Times New Roman" w:cs="Times New Roman"/>
          <w:sz w:val="23"/>
          <w:szCs w:val="23"/>
        </w:rPr>
        <w:t>In today’s interest rate environment, a review from a qualified financial advisor can prove to be productive exercise. We are proud of the research we do on our clients’ behalf and are always willing to offer a “complimentary” financial review for your friends and associates.</w:t>
      </w:r>
    </w:p>
    <w:p w14:paraId="238C2DB9" w14:textId="39137B83" w:rsidR="003100CA" w:rsidRPr="0003775A" w:rsidRDefault="003100CA" w:rsidP="004B6D62">
      <w:pPr>
        <w:spacing w:before="40" w:after="240" w:line="276" w:lineRule="auto"/>
        <w:ind w:left="90" w:right="180"/>
        <w:jc w:val="both"/>
        <w:rPr>
          <w:rFonts w:ascii="Times New Roman" w:eastAsia="Calibri" w:hAnsi="Times New Roman" w:cs="Times New Roman"/>
          <w:sz w:val="8"/>
          <w:szCs w:val="24"/>
        </w:rPr>
      </w:pPr>
    </w:p>
    <w:p w14:paraId="2ABD7F64" w14:textId="66184B49" w:rsidR="003C245D" w:rsidRPr="00BC3009" w:rsidRDefault="003C245D" w:rsidP="004B6D62">
      <w:pPr>
        <w:shd w:val="clear" w:color="auto" w:fill="B4C6E7" w:themeFill="accent1" w:themeFillTint="66"/>
        <w:spacing w:before="120" w:after="100" w:afterAutospacing="1" w:line="276" w:lineRule="auto"/>
        <w:ind w:left="90" w:right="180"/>
        <w:jc w:val="center"/>
        <w:rPr>
          <w:b/>
          <w:iCs/>
          <w:color w:val="1F3864" w:themeColor="accent1" w:themeShade="80"/>
          <w:sz w:val="36"/>
          <w:szCs w:val="36"/>
        </w:rPr>
      </w:pPr>
      <w:r w:rsidRPr="00BC3009">
        <w:rPr>
          <w:b/>
          <w:iCs/>
          <w:color w:val="1F3864" w:themeColor="accent1" w:themeShade="80"/>
          <w:sz w:val="36"/>
          <w:szCs w:val="36"/>
        </w:rPr>
        <w:lastRenderedPageBreak/>
        <w:t xml:space="preserve">Discuss </w:t>
      </w:r>
      <w:r w:rsidR="00224E83" w:rsidRPr="00BC3009">
        <w:rPr>
          <w:b/>
          <w:iCs/>
          <w:color w:val="1F3864" w:themeColor="accent1" w:themeShade="80"/>
          <w:sz w:val="36"/>
          <w:szCs w:val="36"/>
        </w:rPr>
        <w:t>A</w:t>
      </w:r>
      <w:r w:rsidRPr="00BC3009">
        <w:rPr>
          <w:b/>
          <w:iCs/>
          <w:color w:val="1F3864" w:themeColor="accent1" w:themeShade="80"/>
          <w:sz w:val="36"/>
          <w:szCs w:val="36"/>
        </w:rPr>
        <w:t xml:space="preserve">ny </w:t>
      </w:r>
      <w:r w:rsidR="00224E83" w:rsidRPr="00BC3009">
        <w:rPr>
          <w:b/>
          <w:iCs/>
          <w:color w:val="1F3864" w:themeColor="accent1" w:themeShade="80"/>
          <w:sz w:val="36"/>
          <w:szCs w:val="36"/>
        </w:rPr>
        <w:t>C</w:t>
      </w:r>
      <w:r w:rsidRPr="00BC3009">
        <w:rPr>
          <w:b/>
          <w:iCs/>
          <w:color w:val="1F3864" w:themeColor="accent1" w:themeShade="80"/>
          <w:sz w:val="36"/>
          <w:szCs w:val="36"/>
        </w:rPr>
        <w:t xml:space="preserve">oncerns </w:t>
      </w:r>
      <w:r w:rsidR="009D7363" w:rsidRPr="00BC3009">
        <w:rPr>
          <w:b/>
          <w:iCs/>
          <w:color w:val="1F3864" w:themeColor="accent1" w:themeShade="80"/>
          <w:sz w:val="36"/>
          <w:szCs w:val="36"/>
        </w:rPr>
        <w:t>w</w:t>
      </w:r>
      <w:r w:rsidRPr="00BC3009">
        <w:rPr>
          <w:b/>
          <w:iCs/>
          <w:color w:val="1F3864" w:themeColor="accent1" w:themeShade="80"/>
          <w:sz w:val="36"/>
          <w:szCs w:val="36"/>
        </w:rPr>
        <w:t xml:space="preserve">ith </w:t>
      </w:r>
      <w:r w:rsidR="00224E83" w:rsidRPr="00BC3009">
        <w:rPr>
          <w:b/>
          <w:iCs/>
          <w:color w:val="1F3864" w:themeColor="accent1" w:themeShade="80"/>
          <w:sz w:val="36"/>
          <w:szCs w:val="36"/>
        </w:rPr>
        <w:t>Us</w:t>
      </w:r>
    </w:p>
    <w:p w14:paraId="42CCFBB7" w14:textId="0A2039C6" w:rsidR="003C245D" w:rsidRPr="0003775A" w:rsidRDefault="003C245D" w:rsidP="004B6D62">
      <w:pPr>
        <w:spacing w:before="120" w:after="100" w:afterAutospacing="1" w:line="276" w:lineRule="auto"/>
        <w:ind w:left="90" w:right="180"/>
        <w:jc w:val="both"/>
        <w:rPr>
          <w:rFonts w:ascii="Times New Roman" w:eastAsia="Calibri" w:hAnsi="Times New Roman" w:cs="Times New Roman"/>
          <w:sz w:val="23"/>
          <w:szCs w:val="23"/>
        </w:rPr>
      </w:pPr>
      <w:r w:rsidRPr="0003775A">
        <w:rPr>
          <w:rFonts w:ascii="Times New Roman" w:eastAsia="Calibri" w:hAnsi="Times New Roman" w:cs="Times New Roman"/>
          <w:sz w:val="23"/>
          <w:szCs w:val="23"/>
        </w:rPr>
        <w:t xml:space="preserve">If you have any questions, please do not hesitate to ask them. We are always available to review your investment portfolio with you. We will always consider your feelings about risk and the markets and review your unique financial situation when providing any recommendations. </w:t>
      </w:r>
    </w:p>
    <w:p w14:paraId="143FF54E" w14:textId="19F26470" w:rsidR="009D7363" w:rsidRPr="0003775A" w:rsidRDefault="003C245D" w:rsidP="004B6D62">
      <w:pPr>
        <w:spacing w:before="120" w:after="0" w:line="240" w:lineRule="auto"/>
        <w:ind w:left="90" w:right="180"/>
        <w:jc w:val="both"/>
        <w:rPr>
          <w:rFonts w:ascii="Times New Roman" w:eastAsia="Calibri" w:hAnsi="Times New Roman" w:cs="Times New Roman"/>
          <w:sz w:val="23"/>
          <w:szCs w:val="23"/>
        </w:rPr>
      </w:pPr>
      <w:r w:rsidRPr="0003775A">
        <w:rPr>
          <w:rFonts w:ascii="Times New Roman" w:eastAsia="Calibri" w:hAnsi="Times New Roman" w:cs="Times New Roman"/>
          <w:sz w:val="23"/>
          <w:szCs w:val="23"/>
        </w:rPr>
        <w:t xml:space="preserve">We pride ourselves in offering:  </w:t>
      </w:r>
    </w:p>
    <w:p w14:paraId="0027FEEC" w14:textId="773D7ACD" w:rsidR="003C245D" w:rsidRPr="0003775A" w:rsidRDefault="003C245D" w:rsidP="0003775A">
      <w:pPr>
        <w:pStyle w:val="ListParagraph"/>
        <w:numPr>
          <w:ilvl w:val="0"/>
          <w:numId w:val="3"/>
        </w:numPr>
        <w:spacing w:before="120" w:after="0"/>
        <w:ind w:left="540" w:right="180" w:hanging="270"/>
        <w:rPr>
          <w:rFonts w:ascii="Times New Roman" w:hAnsi="Times New Roman"/>
          <w:sz w:val="23"/>
          <w:szCs w:val="23"/>
        </w:rPr>
      </w:pPr>
      <w:r w:rsidRPr="0003775A">
        <w:rPr>
          <w:rFonts w:ascii="Times New Roman" w:hAnsi="Times New Roman"/>
          <w:sz w:val="23"/>
          <w:szCs w:val="23"/>
        </w:rPr>
        <w:t xml:space="preserve">consistent and strong communication, </w:t>
      </w:r>
    </w:p>
    <w:p w14:paraId="196B5856" w14:textId="72856532" w:rsidR="003C245D" w:rsidRPr="0003775A" w:rsidRDefault="003C245D" w:rsidP="0003775A">
      <w:pPr>
        <w:pStyle w:val="ListParagraph"/>
        <w:numPr>
          <w:ilvl w:val="0"/>
          <w:numId w:val="3"/>
        </w:numPr>
        <w:spacing w:before="120" w:after="0"/>
        <w:ind w:left="540" w:right="180" w:hanging="270"/>
        <w:rPr>
          <w:rFonts w:ascii="Times New Roman" w:hAnsi="Times New Roman"/>
          <w:sz w:val="23"/>
          <w:szCs w:val="23"/>
        </w:rPr>
      </w:pPr>
      <w:r w:rsidRPr="0003775A">
        <w:rPr>
          <w:rFonts w:ascii="Times New Roman" w:hAnsi="Times New Roman"/>
          <w:sz w:val="23"/>
          <w:szCs w:val="23"/>
        </w:rPr>
        <w:t>a schedule of regular client meetings, and</w:t>
      </w:r>
    </w:p>
    <w:p w14:paraId="4628A25A" w14:textId="5F3024B7" w:rsidR="003C245D" w:rsidRPr="0003775A" w:rsidRDefault="003C245D" w:rsidP="0003775A">
      <w:pPr>
        <w:pStyle w:val="ListParagraph"/>
        <w:numPr>
          <w:ilvl w:val="0"/>
          <w:numId w:val="3"/>
        </w:numPr>
        <w:spacing w:before="120" w:after="0"/>
        <w:ind w:left="540" w:right="180" w:hanging="270"/>
        <w:rPr>
          <w:rFonts w:ascii="Times New Roman" w:hAnsi="Times New Roman"/>
          <w:sz w:val="23"/>
          <w:szCs w:val="23"/>
        </w:rPr>
      </w:pPr>
      <w:r w:rsidRPr="0003775A">
        <w:rPr>
          <w:rFonts w:ascii="Times New Roman" w:hAnsi="Times New Roman"/>
          <w:sz w:val="23"/>
          <w:szCs w:val="23"/>
        </w:rPr>
        <w:t>continuing education for member</w:t>
      </w:r>
      <w:r w:rsidR="009D7363" w:rsidRPr="0003775A">
        <w:rPr>
          <w:rFonts w:ascii="Times New Roman" w:hAnsi="Times New Roman"/>
          <w:sz w:val="23"/>
          <w:szCs w:val="23"/>
        </w:rPr>
        <w:t>s</w:t>
      </w:r>
      <w:r w:rsidRPr="0003775A">
        <w:rPr>
          <w:rFonts w:ascii="Times New Roman" w:hAnsi="Times New Roman"/>
          <w:sz w:val="23"/>
          <w:szCs w:val="23"/>
        </w:rPr>
        <w:t xml:space="preserve"> of our team on the issues that affect our clients.  </w:t>
      </w:r>
    </w:p>
    <w:p w14:paraId="19F54B70" w14:textId="3AADDE35" w:rsidR="009D7363" w:rsidRPr="0003775A" w:rsidRDefault="009D7363" w:rsidP="004B6D62">
      <w:pPr>
        <w:pStyle w:val="ListParagraph"/>
        <w:spacing w:before="120" w:after="0"/>
        <w:ind w:left="90" w:right="180"/>
        <w:jc w:val="both"/>
        <w:rPr>
          <w:rFonts w:asciiTheme="minorHAnsi" w:hAnsiTheme="minorHAnsi"/>
          <w:sz w:val="23"/>
          <w:szCs w:val="23"/>
        </w:rPr>
      </w:pPr>
    </w:p>
    <w:p w14:paraId="7F26963D" w14:textId="291F9B23" w:rsidR="00596CAD" w:rsidRPr="0003775A" w:rsidRDefault="003C245D" w:rsidP="004B6D62">
      <w:pPr>
        <w:spacing w:before="40" w:after="240" w:line="240" w:lineRule="auto"/>
        <w:ind w:left="90" w:right="180"/>
        <w:jc w:val="both"/>
        <w:rPr>
          <w:b/>
          <w:color w:val="1F3864" w:themeColor="accent1" w:themeShade="80"/>
          <w:sz w:val="23"/>
          <w:szCs w:val="23"/>
        </w:rPr>
        <w:sectPr w:rsidR="00596CAD" w:rsidRPr="0003775A" w:rsidSect="00E92EC1">
          <w:type w:val="continuous"/>
          <w:pgSz w:w="12240" w:h="15840"/>
          <w:pgMar w:top="1260" w:right="810" w:bottom="1440" w:left="720" w:header="720" w:footer="720" w:gutter="0"/>
          <w:cols w:num="2" w:space="630"/>
          <w:docGrid w:linePitch="360"/>
        </w:sectPr>
      </w:pPr>
      <w:r w:rsidRPr="0003775A">
        <w:rPr>
          <w:b/>
          <w:color w:val="1F3864" w:themeColor="accent1" w:themeShade="80"/>
          <w:sz w:val="23"/>
          <w:szCs w:val="23"/>
        </w:rPr>
        <w:t>A good financial advisor can help make your journey easier.  Our goal is to understand our clients’ needs and then try to create plan</w:t>
      </w:r>
      <w:r w:rsidR="009D7363" w:rsidRPr="0003775A">
        <w:rPr>
          <w:b/>
          <w:color w:val="1F3864" w:themeColor="accent1" w:themeShade="80"/>
          <w:sz w:val="23"/>
          <w:szCs w:val="23"/>
        </w:rPr>
        <w:t>s</w:t>
      </w:r>
      <w:r w:rsidRPr="0003775A">
        <w:rPr>
          <w:b/>
          <w:color w:val="1F3864" w:themeColor="accent1" w:themeShade="80"/>
          <w:sz w:val="23"/>
          <w:szCs w:val="23"/>
        </w:rPr>
        <w:t xml:space="preserve"> to address those needs.  While we cannot control financial markets</w:t>
      </w:r>
      <w:r w:rsidR="009D7363" w:rsidRPr="0003775A">
        <w:rPr>
          <w:b/>
          <w:color w:val="1F3864" w:themeColor="accent1" w:themeShade="80"/>
          <w:sz w:val="23"/>
          <w:szCs w:val="23"/>
        </w:rPr>
        <w:t>, inflation, or</w:t>
      </w:r>
      <w:r w:rsidRPr="0003775A">
        <w:rPr>
          <w:b/>
          <w:color w:val="1F3864" w:themeColor="accent1" w:themeShade="80"/>
          <w:sz w:val="23"/>
          <w:szCs w:val="23"/>
        </w:rPr>
        <w:t xml:space="preserve"> interest rates, we keep a watchful eye on them.  We can discuss your specific situation at your next review meeting or you can call to schedule an appointment. As always, we appreciate the opportunity to assist you in addressing your financial matters.</w:t>
      </w:r>
    </w:p>
    <w:p w14:paraId="4C905789" w14:textId="3B7F3B9D" w:rsidR="00BC3009" w:rsidRPr="003E5A10" w:rsidRDefault="008A3FE8" w:rsidP="00E8116C">
      <w:pPr>
        <w:spacing w:after="0" w:line="240" w:lineRule="auto"/>
        <w:ind w:left="-90" w:right="-180"/>
        <w:jc w:val="both"/>
        <w:rPr>
          <w:color w:val="948A54"/>
          <w:sz w:val="2"/>
          <w:szCs w:val="16"/>
        </w:rPr>
      </w:pPr>
      <w:r w:rsidRPr="00E57ECE">
        <w:rPr>
          <w:rFonts w:ascii="Times New Roman" w:eastAsia="Calibri" w:hAnsi="Times New Roman" w:cs="Times New Roman"/>
          <w:noProof/>
          <w:sz w:val="24"/>
          <w:szCs w:val="24"/>
        </w:rPr>
        <w:lastRenderedPageBreak/>
        <w:drawing>
          <wp:anchor distT="0" distB="0" distL="114300" distR="114300" simplePos="0" relativeHeight="251686912" behindDoc="0" locked="0" layoutInCell="1" allowOverlap="1" wp14:anchorId="23DF90C0" wp14:editId="06958782">
            <wp:simplePos x="0" y="0"/>
            <wp:positionH relativeFrom="column">
              <wp:posOffset>-20955</wp:posOffset>
            </wp:positionH>
            <wp:positionV relativeFrom="paragraph">
              <wp:posOffset>363220</wp:posOffset>
            </wp:positionV>
            <wp:extent cx="1323340" cy="914400"/>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2334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7ECE">
        <w:rPr>
          <w:rFonts w:ascii="Times New Roman" w:eastAsia="Calibri" w:hAnsi="Times New Roman" w:cs="Times New Roman"/>
          <w:noProof/>
          <w:sz w:val="24"/>
          <w:szCs w:val="24"/>
        </w:rPr>
        <mc:AlternateContent>
          <mc:Choice Requires="wps">
            <w:drawing>
              <wp:anchor distT="45720" distB="45720" distL="114300" distR="114300" simplePos="0" relativeHeight="251684864" behindDoc="0" locked="0" layoutInCell="1" allowOverlap="1" wp14:anchorId="6FCC9D0F" wp14:editId="1B1EC5C3">
                <wp:simplePos x="0" y="0"/>
                <wp:positionH relativeFrom="column">
                  <wp:posOffset>-187960</wp:posOffset>
                </wp:positionH>
                <wp:positionV relativeFrom="paragraph">
                  <wp:posOffset>82550</wp:posOffset>
                </wp:positionV>
                <wp:extent cx="6687185" cy="1365250"/>
                <wp:effectExtent l="38100" t="38100" r="94615" b="10160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7185" cy="1365250"/>
                        </a:xfrm>
                        <a:prstGeom prst="rect">
                          <a:avLst/>
                        </a:prstGeom>
                        <a:solidFill>
                          <a:schemeClr val="bg1">
                            <a:lumMod val="95000"/>
                          </a:schemeClr>
                        </a:solidFill>
                        <a:ln w="9525">
                          <a:noFill/>
                          <a:miter lim="800000"/>
                          <a:headEnd/>
                          <a:tailEnd/>
                        </a:ln>
                        <a:effectLst>
                          <a:outerShdw blurRad="50800" dist="38100" dir="2700000" algn="tl" rotWithShape="0">
                            <a:prstClr val="black">
                              <a:alpha val="40000"/>
                            </a:prstClr>
                          </a:outerShdw>
                        </a:effectLst>
                      </wps:spPr>
                      <wps:txbx>
                        <w:txbxContent>
                          <w:p w14:paraId="7D51ACAE" w14:textId="77777777" w:rsidR="00C55E63" w:rsidRPr="00596CAD" w:rsidRDefault="00C55E63" w:rsidP="00C55E63">
                            <w:pPr>
                              <w:pStyle w:val="Footer"/>
                              <w:ind w:left="2520" w:right="90"/>
                              <w:jc w:val="center"/>
                              <w:rPr>
                                <w:rFonts w:asciiTheme="minorHAnsi" w:hAnsiTheme="minorHAnsi"/>
                                <w:color w:val="003399"/>
                                <w:sz w:val="32"/>
                                <w:szCs w:val="44"/>
                              </w:rPr>
                            </w:pPr>
                            <w:r w:rsidRPr="00596CAD">
                              <w:rPr>
                                <w:rFonts w:asciiTheme="minorHAnsi" w:hAnsiTheme="minorHAnsi"/>
                                <w:b/>
                                <w:i/>
                                <w:color w:val="003399"/>
                                <w:sz w:val="32"/>
                                <w:szCs w:val="44"/>
                              </w:rPr>
                              <w:t>Please share this report with others!</w:t>
                            </w:r>
                          </w:p>
                          <w:p w14:paraId="415A8FA3" w14:textId="009F88B5" w:rsidR="00C55E63" w:rsidRPr="00596CAD" w:rsidRDefault="00C55E63" w:rsidP="00C55E63">
                            <w:pPr>
                              <w:pStyle w:val="Footer"/>
                              <w:ind w:left="2520" w:right="117"/>
                              <w:jc w:val="both"/>
                              <w:rPr>
                                <w:rFonts w:asciiTheme="minorHAnsi" w:hAnsiTheme="minorHAnsi"/>
                                <w:color w:val="0D0D0D"/>
                                <w:sz w:val="22"/>
                                <w:szCs w:val="28"/>
                              </w:rPr>
                            </w:pPr>
                            <w:r w:rsidRPr="00596CAD">
                              <w:rPr>
                                <w:rFonts w:asciiTheme="minorHAnsi" w:hAnsiTheme="minorHAnsi"/>
                                <w:color w:val="0D0D0D"/>
                                <w:sz w:val="22"/>
                              </w:rPr>
                              <w:br/>
                            </w:r>
                            <w:r w:rsidRPr="00596CAD">
                              <w:rPr>
                                <w:rFonts w:asciiTheme="minorHAnsi" w:hAnsiTheme="minorHAnsi"/>
                                <w:color w:val="003399"/>
                                <w:sz w:val="22"/>
                                <w:szCs w:val="28"/>
                              </w:rPr>
                              <w:t xml:space="preserve">This year, our goal is to offer services to several other clients just like you! If you would like to share this report with a friend or colleague, please call </w:t>
                            </w:r>
                            <w:r w:rsidR="008A3FE8">
                              <w:rPr>
                                <w:rFonts w:asciiTheme="minorHAnsi" w:hAnsiTheme="minorHAnsi"/>
                                <w:b/>
                                <w:color w:val="003399"/>
                                <w:sz w:val="22"/>
                                <w:szCs w:val="28"/>
                              </w:rPr>
                              <w:t>Marlena at Superior Financial Management at (516) 939-2789</w:t>
                            </w:r>
                            <w:r w:rsidRPr="00596CAD">
                              <w:rPr>
                                <w:rFonts w:asciiTheme="minorHAnsi" w:hAnsiTheme="minorHAnsi"/>
                                <w:color w:val="003399"/>
                                <w:sz w:val="22"/>
                                <w:szCs w:val="28"/>
                              </w:rPr>
                              <w:t xml:space="preserve"> and we would be happy to assist you</w:t>
                            </w:r>
                            <w:r w:rsidRPr="00596CAD">
                              <w:rPr>
                                <w:rFonts w:asciiTheme="minorHAnsi" w:hAnsiTheme="minorHAnsi"/>
                                <w:color w:val="0D0D0D"/>
                                <w:sz w:val="22"/>
                                <w:szCs w:val="28"/>
                              </w:rPr>
                              <w:t>!</w:t>
                            </w:r>
                          </w:p>
                          <w:p w14:paraId="4A4546F1" w14:textId="77777777" w:rsidR="00C55E63" w:rsidRDefault="00C55E63" w:rsidP="00C55E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4.8pt;margin-top:6.5pt;width:526.55pt;height:10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" fillcolor="#f2f2f2 [3052]" stroked="f">
                <v:shadow on="t" color="black" opacity="26214f" origin="-.5,-.5" offset=".74836mm,.74836mm"/>
                <v:textbox>
                  <w:txbxContent>
                    <w:p w14:paraId="7D51ACAE" w14:textId="77777777" w:rsidR="00C55E63" w:rsidRPr="00596CAD" w:rsidRDefault="00C55E63" w:rsidP="00C55E63">
                      <w:pPr>
                        <w:pStyle w:val="Footer"/>
                        <w:ind w:left="2520" w:right="90"/>
                        <w:jc w:val="center"/>
                        <w:rPr>
                          <w:rFonts w:asciiTheme="minorHAnsi" w:hAnsiTheme="minorHAnsi"/>
                          <w:color w:val="003399"/>
                          <w:sz w:val="32"/>
                          <w:szCs w:val="44"/>
                        </w:rPr>
                      </w:pPr>
                      <w:r w:rsidRPr="00596CAD">
                        <w:rPr>
                          <w:rFonts w:asciiTheme="minorHAnsi" w:hAnsiTheme="minorHAnsi"/>
                          <w:b/>
                          <w:i/>
                          <w:color w:val="003399"/>
                          <w:sz w:val="32"/>
                          <w:szCs w:val="44"/>
                        </w:rPr>
                        <w:t>Please share this report with others!</w:t>
                      </w:r>
                    </w:p>
                    <w:p w14:paraId="415A8FA3" w14:textId="009F88B5" w:rsidR="00C55E63" w:rsidRPr="00596CAD" w:rsidRDefault="00C55E63" w:rsidP="00C55E63">
                      <w:pPr>
                        <w:pStyle w:val="Footer"/>
                        <w:ind w:left="2520" w:right="117"/>
                        <w:jc w:val="both"/>
                        <w:rPr>
                          <w:rFonts w:asciiTheme="minorHAnsi" w:hAnsiTheme="minorHAnsi"/>
                          <w:color w:val="0D0D0D"/>
                          <w:sz w:val="22"/>
                          <w:szCs w:val="28"/>
                        </w:rPr>
                      </w:pPr>
                      <w:r w:rsidRPr="00596CAD">
                        <w:rPr>
                          <w:rFonts w:asciiTheme="minorHAnsi" w:hAnsiTheme="minorHAnsi"/>
                          <w:color w:val="0D0D0D"/>
                          <w:sz w:val="22"/>
                        </w:rPr>
                        <w:br/>
                      </w:r>
                      <w:r w:rsidRPr="00596CAD">
                        <w:rPr>
                          <w:rFonts w:asciiTheme="minorHAnsi" w:hAnsiTheme="minorHAnsi"/>
                          <w:color w:val="003399"/>
                          <w:sz w:val="22"/>
                          <w:szCs w:val="28"/>
                        </w:rPr>
                        <w:t xml:space="preserve">This year, our goal is to offer services to several other clients just like you! If you would like to share this report with a friend or colleague, please call </w:t>
                      </w:r>
                      <w:r w:rsidR="008A3FE8">
                        <w:rPr>
                          <w:rFonts w:asciiTheme="minorHAnsi" w:hAnsiTheme="minorHAnsi"/>
                          <w:b/>
                          <w:color w:val="003399"/>
                          <w:sz w:val="22"/>
                          <w:szCs w:val="28"/>
                        </w:rPr>
                        <w:t>Marlena at Superior Financial Management at (516) 939-2789</w:t>
                      </w:r>
                      <w:r w:rsidRPr="00596CAD">
                        <w:rPr>
                          <w:rFonts w:asciiTheme="minorHAnsi" w:hAnsiTheme="minorHAnsi"/>
                          <w:color w:val="003399"/>
                          <w:sz w:val="22"/>
                          <w:szCs w:val="28"/>
                        </w:rPr>
                        <w:t xml:space="preserve"> and we would be happy to assist you</w:t>
                      </w:r>
                      <w:r w:rsidRPr="00596CAD">
                        <w:rPr>
                          <w:rFonts w:asciiTheme="minorHAnsi" w:hAnsiTheme="minorHAnsi"/>
                          <w:color w:val="0D0D0D"/>
                          <w:sz w:val="22"/>
                          <w:szCs w:val="28"/>
                        </w:rPr>
                        <w:t>!</w:t>
                      </w:r>
                    </w:p>
                    <w:p w14:paraId="4A4546F1" w14:textId="77777777" w:rsidR="00C55E63" w:rsidRDefault="00C55E63" w:rsidP="00C55E63"/>
                  </w:txbxContent>
                </v:textbox>
                <w10:wrap type="square"/>
              </v:shape>
            </w:pict>
          </mc:Fallback>
        </mc:AlternateContent>
      </w:r>
    </w:p>
    <w:p w14:paraId="3253C5C3" w14:textId="77777777" w:rsidR="008A3FE8" w:rsidRDefault="008A3FE8" w:rsidP="00F83F9D">
      <w:pPr>
        <w:spacing w:after="0" w:line="240" w:lineRule="auto"/>
        <w:ind w:left="-270" w:right="-180"/>
        <w:jc w:val="center"/>
        <w:rPr>
          <w:color w:val="948A54"/>
          <w:sz w:val="16"/>
          <w:szCs w:val="16"/>
          <w:highlight w:val="yellow"/>
        </w:rPr>
      </w:pPr>
    </w:p>
    <w:p w14:paraId="3FA63900" w14:textId="77777777" w:rsidR="008A3FE8" w:rsidRDefault="008A3FE8" w:rsidP="00F83F9D">
      <w:pPr>
        <w:spacing w:after="0" w:line="240" w:lineRule="auto"/>
        <w:ind w:left="-270" w:right="-180"/>
        <w:jc w:val="center"/>
        <w:rPr>
          <w:color w:val="948A54"/>
          <w:sz w:val="16"/>
          <w:szCs w:val="16"/>
          <w:highlight w:val="yellow"/>
        </w:rPr>
      </w:pPr>
    </w:p>
    <w:p w14:paraId="544FF502" w14:textId="77777777" w:rsidR="008A3FE8" w:rsidRPr="009B69D7" w:rsidRDefault="008A3FE8" w:rsidP="008A3FE8">
      <w:pPr>
        <w:pStyle w:val="NoSpacing"/>
        <w:jc w:val="center"/>
        <w:rPr>
          <w:sz w:val="18"/>
          <w:szCs w:val="18"/>
        </w:rPr>
      </w:pPr>
      <w:bookmarkStart w:id="0" w:name="_GoBack"/>
      <w:r w:rsidRPr="009B69D7">
        <w:rPr>
          <w:sz w:val="18"/>
          <w:szCs w:val="18"/>
        </w:rPr>
        <w:t xml:space="preserve">Chuck Schlapp is a Financial Planner with Superior Financial Management. He is a registered investment advisor affiliated with and also offers securities as a Registered Representative of North Ridge Securities Corp. </w:t>
      </w:r>
    </w:p>
    <w:p w14:paraId="50CA91D7" w14:textId="37E66CDC" w:rsidR="00581ECD" w:rsidRDefault="008A3FE8" w:rsidP="008A3FE8">
      <w:pPr>
        <w:spacing w:after="0" w:line="240" w:lineRule="auto"/>
        <w:ind w:left="-270" w:right="-180"/>
        <w:jc w:val="center"/>
        <w:rPr>
          <w:color w:val="948A54"/>
          <w:sz w:val="16"/>
          <w:szCs w:val="16"/>
        </w:rPr>
      </w:pPr>
      <w:r w:rsidRPr="009B69D7">
        <w:rPr>
          <w:sz w:val="18"/>
          <w:szCs w:val="18"/>
        </w:rPr>
        <w:t>1895 Walt Whitman Road, Melville, NY 11747. Tel.: (631) 420-4242 – Member of FINRA/SIPC.</w:t>
      </w:r>
      <w:r w:rsidR="00F83F9D">
        <w:rPr>
          <w:color w:val="948A54"/>
          <w:sz w:val="16"/>
          <w:szCs w:val="16"/>
        </w:rPr>
        <w:t xml:space="preserve"> </w:t>
      </w:r>
      <w:r w:rsidR="003E5A10">
        <w:rPr>
          <w:color w:val="948A54"/>
          <w:sz w:val="16"/>
          <w:szCs w:val="16"/>
        </w:rPr>
        <w:br/>
      </w:r>
      <w:bookmarkEnd w:id="0"/>
      <w:r w:rsidR="003E5A10">
        <w:rPr>
          <w:color w:val="948A54"/>
          <w:sz w:val="16"/>
          <w:szCs w:val="16"/>
        </w:rPr>
        <w:br/>
      </w:r>
      <w:r w:rsidR="003D7856">
        <w:rPr>
          <w:color w:val="948A54"/>
          <w:sz w:val="16"/>
          <w:szCs w:val="16"/>
        </w:rPr>
        <w:t xml:space="preserve">Note: </w:t>
      </w:r>
      <w:r w:rsidR="00581ECD">
        <w:rPr>
          <w:color w:val="948A54"/>
          <w:sz w:val="16"/>
          <w:szCs w:val="16"/>
        </w:rPr>
        <w:t>This article is for informational purposes only.  This information is not intended to be a substitute for specific individualized tax, legal or investment planning advice as individual situations will vary. For specific advice about your situation, please consult with a lawyer or financial professional.</w:t>
      </w:r>
    </w:p>
    <w:p w14:paraId="1CC9F23C" w14:textId="77777777" w:rsidR="008A3FE8" w:rsidRDefault="003D7856" w:rsidP="00E306F7">
      <w:pPr>
        <w:spacing w:after="0" w:line="240" w:lineRule="auto"/>
        <w:ind w:left="-270" w:right="-180"/>
        <w:jc w:val="both"/>
        <w:rPr>
          <w:color w:val="948A54"/>
          <w:sz w:val="16"/>
          <w:szCs w:val="16"/>
        </w:rPr>
      </w:pPr>
      <w:r w:rsidRPr="00581ECD">
        <w:rPr>
          <w:noProof/>
          <w:color w:val="948A54"/>
          <w:sz w:val="16"/>
          <w:szCs w:val="16"/>
        </w:rPr>
        <w:drawing>
          <wp:anchor distT="0" distB="0" distL="114300" distR="114300" simplePos="0" relativeHeight="251678720" behindDoc="0" locked="0" layoutInCell="1" allowOverlap="1" wp14:anchorId="6B817A75" wp14:editId="6143D78F">
            <wp:simplePos x="0" y="0"/>
            <wp:positionH relativeFrom="column">
              <wp:posOffset>6146800</wp:posOffset>
            </wp:positionH>
            <wp:positionV relativeFrom="paragraph">
              <wp:posOffset>9435465</wp:posOffset>
            </wp:positionV>
            <wp:extent cx="554355" cy="1245870"/>
            <wp:effectExtent l="0" t="0" r="0" b="0"/>
            <wp:wrapNone/>
            <wp:docPr id="12" name="Picture 12" descr="http://www.ilovelittletree.com/ILLT_image/ILLT_home/ILLT_images_Home_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lovelittletree.com/ILLT_image/ILLT_home/ILLT_images_Home_tre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4355" cy="1245870"/>
                    </a:xfrm>
                    <a:prstGeom prst="rect">
                      <a:avLst/>
                    </a:prstGeom>
                    <a:noFill/>
                  </pic:spPr>
                </pic:pic>
              </a:graphicData>
            </a:graphic>
            <wp14:sizeRelH relativeFrom="page">
              <wp14:pctWidth>0</wp14:pctWidth>
            </wp14:sizeRelH>
            <wp14:sizeRelV relativeFrom="page">
              <wp14:pctHeight>0</wp14:pctHeight>
            </wp14:sizeRelV>
          </wp:anchor>
        </w:drawing>
      </w:r>
    </w:p>
    <w:p w14:paraId="24824CC9" w14:textId="6EAAADBB" w:rsidR="00877AF5" w:rsidRPr="000377C7" w:rsidRDefault="00581ECD" w:rsidP="008A3FE8">
      <w:pPr>
        <w:spacing w:after="0" w:line="240" w:lineRule="auto"/>
        <w:ind w:left="-270" w:right="-180"/>
        <w:jc w:val="both"/>
        <w:rPr>
          <w:sz w:val="24"/>
          <w:szCs w:val="24"/>
        </w:rPr>
      </w:pPr>
      <w:r w:rsidRPr="00581ECD">
        <w:rPr>
          <w:color w:val="948A54"/>
          <w:sz w:val="16"/>
          <w:szCs w:val="16"/>
        </w:rPr>
        <w:t xml:space="preserve"> </w:t>
      </w:r>
      <w:r>
        <w:rPr>
          <w:color w:val="948A54"/>
          <w:sz w:val="16"/>
          <w:szCs w:val="16"/>
        </w:rPr>
        <w:t>Sources: (reuters.com, Associated Press, NYTimes.com, Fidelity.com, MarketWatch.com, Macrotrends.com</w:t>
      </w:r>
      <w:r w:rsidR="00E8116C">
        <w:rPr>
          <w:color w:val="948A54"/>
          <w:sz w:val="16"/>
          <w:szCs w:val="16"/>
        </w:rPr>
        <w:t>; USAToday</w:t>
      </w:r>
      <w:r w:rsidR="003E5A10">
        <w:rPr>
          <w:color w:val="948A54"/>
          <w:sz w:val="16"/>
          <w:szCs w:val="16"/>
        </w:rPr>
        <w:t>w</w:t>
      </w:r>
      <w:r>
        <w:rPr>
          <w:color w:val="948A54"/>
          <w:sz w:val="16"/>
          <w:szCs w:val="16"/>
        </w:rPr>
        <w:t>) Contents provided by the Academy of Preferred Financial Advisors, Inc.</w:t>
      </w:r>
      <w:r w:rsidR="00E306F7">
        <w:t xml:space="preserve"> </w:t>
      </w:r>
    </w:p>
    <w:sectPr w:rsidR="00877AF5" w:rsidRPr="000377C7" w:rsidSect="008A3FE8">
      <w:type w:val="continuous"/>
      <w:pgSz w:w="12240" w:h="15840"/>
      <w:pgMar w:top="1260" w:right="1080" w:bottom="1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65B41"/>
    <w:multiLevelType w:val="hybridMultilevel"/>
    <w:tmpl w:val="498ACA3A"/>
    <w:lvl w:ilvl="0" w:tplc="04090001">
      <w:start w:val="1"/>
      <w:numFmt w:val="bullet"/>
      <w:lvlText w:val=""/>
      <w:lvlJc w:val="left"/>
      <w:pPr>
        <w:ind w:left="-72" w:hanging="360"/>
      </w:pPr>
      <w:rPr>
        <w:rFonts w:ascii="Symbol" w:hAnsi="Symbol" w:hint="default"/>
      </w:rPr>
    </w:lvl>
    <w:lvl w:ilvl="1" w:tplc="04090003">
      <w:start w:val="1"/>
      <w:numFmt w:val="bullet"/>
      <w:lvlText w:val="o"/>
      <w:lvlJc w:val="left"/>
      <w:pPr>
        <w:ind w:left="648" w:hanging="360"/>
      </w:pPr>
      <w:rPr>
        <w:rFonts w:ascii="Courier New" w:hAnsi="Courier New" w:cs="Courier New" w:hint="default"/>
      </w:rPr>
    </w:lvl>
    <w:lvl w:ilvl="2" w:tplc="04090005">
      <w:start w:val="1"/>
      <w:numFmt w:val="bullet"/>
      <w:lvlText w:val=""/>
      <w:lvlJc w:val="left"/>
      <w:pPr>
        <w:ind w:left="1368" w:hanging="360"/>
      </w:pPr>
      <w:rPr>
        <w:rFonts w:ascii="Wingdings" w:hAnsi="Wingdings" w:hint="default"/>
      </w:rPr>
    </w:lvl>
    <w:lvl w:ilvl="3" w:tplc="04090001">
      <w:start w:val="1"/>
      <w:numFmt w:val="bullet"/>
      <w:lvlText w:val=""/>
      <w:lvlJc w:val="left"/>
      <w:pPr>
        <w:ind w:left="2088" w:hanging="360"/>
      </w:pPr>
      <w:rPr>
        <w:rFonts w:ascii="Symbol" w:hAnsi="Symbol" w:hint="default"/>
      </w:rPr>
    </w:lvl>
    <w:lvl w:ilvl="4" w:tplc="04090003">
      <w:start w:val="1"/>
      <w:numFmt w:val="bullet"/>
      <w:lvlText w:val="o"/>
      <w:lvlJc w:val="left"/>
      <w:pPr>
        <w:ind w:left="2808" w:hanging="360"/>
      </w:pPr>
      <w:rPr>
        <w:rFonts w:ascii="Courier New" w:hAnsi="Courier New" w:cs="Courier New" w:hint="default"/>
      </w:rPr>
    </w:lvl>
    <w:lvl w:ilvl="5" w:tplc="04090005">
      <w:start w:val="1"/>
      <w:numFmt w:val="bullet"/>
      <w:lvlText w:val=""/>
      <w:lvlJc w:val="left"/>
      <w:pPr>
        <w:ind w:left="3528" w:hanging="360"/>
      </w:pPr>
      <w:rPr>
        <w:rFonts w:ascii="Wingdings" w:hAnsi="Wingdings" w:hint="default"/>
      </w:rPr>
    </w:lvl>
    <w:lvl w:ilvl="6" w:tplc="04090001">
      <w:start w:val="1"/>
      <w:numFmt w:val="bullet"/>
      <w:lvlText w:val=""/>
      <w:lvlJc w:val="left"/>
      <w:pPr>
        <w:ind w:left="4248" w:hanging="360"/>
      </w:pPr>
      <w:rPr>
        <w:rFonts w:ascii="Symbol" w:hAnsi="Symbol" w:hint="default"/>
      </w:rPr>
    </w:lvl>
    <w:lvl w:ilvl="7" w:tplc="04090003">
      <w:start w:val="1"/>
      <w:numFmt w:val="bullet"/>
      <w:lvlText w:val="o"/>
      <w:lvlJc w:val="left"/>
      <w:pPr>
        <w:ind w:left="4968" w:hanging="360"/>
      </w:pPr>
      <w:rPr>
        <w:rFonts w:ascii="Courier New" w:hAnsi="Courier New" w:cs="Courier New" w:hint="default"/>
      </w:rPr>
    </w:lvl>
    <w:lvl w:ilvl="8" w:tplc="04090005">
      <w:start w:val="1"/>
      <w:numFmt w:val="bullet"/>
      <w:lvlText w:val=""/>
      <w:lvlJc w:val="left"/>
      <w:pPr>
        <w:ind w:left="5688" w:hanging="360"/>
      </w:pPr>
      <w:rPr>
        <w:rFonts w:ascii="Wingdings" w:hAnsi="Wingdings" w:hint="default"/>
      </w:rPr>
    </w:lvl>
  </w:abstractNum>
  <w:abstractNum w:abstractNumId="1">
    <w:nsid w:val="2D706540"/>
    <w:multiLevelType w:val="hybridMultilevel"/>
    <w:tmpl w:val="EF4A87C8"/>
    <w:lvl w:ilvl="0" w:tplc="6DC0CDF6">
      <w:start w:val="1"/>
      <w:numFmt w:val="bullet"/>
      <w:lvlText w:val=""/>
      <w:lvlJc w:val="left"/>
      <w:pPr>
        <w:ind w:left="810" w:hanging="360"/>
      </w:pPr>
      <w:rPr>
        <w:rFonts w:ascii="Wingdings" w:hAnsi="Wingdings" w:hint="default"/>
        <w:b/>
        <w:i w:val="0"/>
        <w:color w:val="548DD4"/>
        <w:sz w:val="40"/>
        <w:szCs w:val="40"/>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
    <w:nsid w:val="3FD45A42"/>
    <w:multiLevelType w:val="hybridMultilevel"/>
    <w:tmpl w:val="CBBC9492"/>
    <w:lvl w:ilvl="0" w:tplc="0409000F">
      <w:start w:val="1"/>
      <w:numFmt w:val="decimal"/>
      <w:lvlText w:val="%1."/>
      <w:lvlJc w:val="left"/>
      <w:pPr>
        <w:ind w:left="720" w:hanging="360"/>
      </w:pPr>
      <w:rPr>
        <w:b/>
        <w:color w:val="2F5496" w:themeColor="accent1" w:themeShade="BF"/>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92"/>
    <w:rsid w:val="00001A61"/>
    <w:rsid w:val="00004356"/>
    <w:rsid w:val="000120D0"/>
    <w:rsid w:val="00020972"/>
    <w:rsid w:val="00020E7A"/>
    <w:rsid w:val="0002334E"/>
    <w:rsid w:val="00024507"/>
    <w:rsid w:val="00031959"/>
    <w:rsid w:val="00031DEC"/>
    <w:rsid w:val="00032438"/>
    <w:rsid w:val="00032DF9"/>
    <w:rsid w:val="0003737D"/>
    <w:rsid w:val="0003775A"/>
    <w:rsid w:val="000377C7"/>
    <w:rsid w:val="00050521"/>
    <w:rsid w:val="00053080"/>
    <w:rsid w:val="00056CD8"/>
    <w:rsid w:val="00060A24"/>
    <w:rsid w:val="00064E0E"/>
    <w:rsid w:val="00073057"/>
    <w:rsid w:val="00081566"/>
    <w:rsid w:val="00082B6C"/>
    <w:rsid w:val="00082C27"/>
    <w:rsid w:val="000909FF"/>
    <w:rsid w:val="000A2BF8"/>
    <w:rsid w:val="000B0795"/>
    <w:rsid w:val="000B394D"/>
    <w:rsid w:val="000C65F8"/>
    <w:rsid w:val="000E405F"/>
    <w:rsid w:val="000E6E94"/>
    <w:rsid w:val="000F175D"/>
    <w:rsid w:val="000F5B08"/>
    <w:rsid w:val="001150E8"/>
    <w:rsid w:val="00116AA3"/>
    <w:rsid w:val="00122EDA"/>
    <w:rsid w:val="001351D5"/>
    <w:rsid w:val="00137DC1"/>
    <w:rsid w:val="00143B5E"/>
    <w:rsid w:val="001448B2"/>
    <w:rsid w:val="00146326"/>
    <w:rsid w:val="00146CD6"/>
    <w:rsid w:val="00157439"/>
    <w:rsid w:val="00172AF1"/>
    <w:rsid w:val="00180427"/>
    <w:rsid w:val="00181C5D"/>
    <w:rsid w:val="001B5A62"/>
    <w:rsid w:val="001B6132"/>
    <w:rsid w:val="001D4E01"/>
    <w:rsid w:val="001F3AC6"/>
    <w:rsid w:val="0020733C"/>
    <w:rsid w:val="00217450"/>
    <w:rsid w:val="00223434"/>
    <w:rsid w:val="00224E83"/>
    <w:rsid w:val="00230FBE"/>
    <w:rsid w:val="002341F4"/>
    <w:rsid w:val="00234D4C"/>
    <w:rsid w:val="002412BE"/>
    <w:rsid w:val="00243BAC"/>
    <w:rsid w:val="0024668C"/>
    <w:rsid w:val="002510B1"/>
    <w:rsid w:val="0025341E"/>
    <w:rsid w:val="00254251"/>
    <w:rsid w:val="00255195"/>
    <w:rsid w:val="00260FB6"/>
    <w:rsid w:val="00273707"/>
    <w:rsid w:val="00274125"/>
    <w:rsid w:val="002926C1"/>
    <w:rsid w:val="00296D54"/>
    <w:rsid w:val="002A1CFB"/>
    <w:rsid w:val="002B0CCB"/>
    <w:rsid w:val="002B23CC"/>
    <w:rsid w:val="002C1A68"/>
    <w:rsid w:val="002C5934"/>
    <w:rsid w:val="002C730B"/>
    <w:rsid w:val="002D167B"/>
    <w:rsid w:val="002D5E4D"/>
    <w:rsid w:val="002E6344"/>
    <w:rsid w:val="002F1E02"/>
    <w:rsid w:val="0030591C"/>
    <w:rsid w:val="00307967"/>
    <w:rsid w:val="003100CA"/>
    <w:rsid w:val="003307E6"/>
    <w:rsid w:val="0033348D"/>
    <w:rsid w:val="003405F6"/>
    <w:rsid w:val="00340C5C"/>
    <w:rsid w:val="00343A4C"/>
    <w:rsid w:val="0035115D"/>
    <w:rsid w:val="00356E6B"/>
    <w:rsid w:val="003656E3"/>
    <w:rsid w:val="00365CD2"/>
    <w:rsid w:val="00374290"/>
    <w:rsid w:val="00375697"/>
    <w:rsid w:val="00380E61"/>
    <w:rsid w:val="00384B4D"/>
    <w:rsid w:val="003955AE"/>
    <w:rsid w:val="00395F94"/>
    <w:rsid w:val="003C245D"/>
    <w:rsid w:val="003D7856"/>
    <w:rsid w:val="003E0110"/>
    <w:rsid w:val="003E5A10"/>
    <w:rsid w:val="003E7953"/>
    <w:rsid w:val="003F1FFB"/>
    <w:rsid w:val="003F7FD6"/>
    <w:rsid w:val="00403F01"/>
    <w:rsid w:val="004105FB"/>
    <w:rsid w:val="004110CD"/>
    <w:rsid w:val="00425FEB"/>
    <w:rsid w:val="00426DB4"/>
    <w:rsid w:val="00434972"/>
    <w:rsid w:val="0045258B"/>
    <w:rsid w:val="004550B9"/>
    <w:rsid w:val="00475BA8"/>
    <w:rsid w:val="004A3C5C"/>
    <w:rsid w:val="004B6D62"/>
    <w:rsid w:val="004C2262"/>
    <w:rsid w:val="004E5A9B"/>
    <w:rsid w:val="004E6AC2"/>
    <w:rsid w:val="004E6C5E"/>
    <w:rsid w:val="005107C9"/>
    <w:rsid w:val="005123D6"/>
    <w:rsid w:val="00521C10"/>
    <w:rsid w:val="0053406D"/>
    <w:rsid w:val="005347F4"/>
    <w:rsid w:val="00540764"/>
    <w:rsid w:val="0054448C"/>
    <w:rsid w:val="00545B73"/>
    <w:rsid w:val="005474F7"/>
    <w:rsid w:val="00551453"/>
    <w:rsid w:val="00553CC9"/>
    <w:rsid w:val="0055761F"/>
    <w:rsid w:val="00575855"/>
    <w:rsid w:val="00581ECD"/>
    <w:rsid w:val="005850EB"/>
    <w:rsid w:val="00596CAD"/>
    <w:rsid w:val="005A4998"/>
    <w:rsid w:val="005B0A09"/>
    <w:rsid w:val="005C0B2C"/>
    <w:rsid w:val="005C7940"/>
    <w:rsid w:val="00602A18"/>
    <w:rsid w:val="006045CF"/>
    <w:rsid w:val="0061081F"/>
    <w:rsid w:val="00615ED9"/>
    <w:rsid w:val="00631DE1"/>
    <w:rsid w:val="00671948"/>
    <w:rsid w:val="00682EA0"/>
    <w:rsid w:val="00690AC3"/>
    <w:rsid w:val="006D0D3C"/>
    <w:rsid w:val="006E54E9"/>
    <w:rsid w:val="00731CEC"/>
    <w:rsid w:val="0073657A"/>
    <w:rsid w:val="00740425"/>
    <w:rsid w:val="007407FE"/>
    <w:rsid w:val="007518C7"/>
    <w:rsid w:val="007568DF"/>
    <w:rsid w:val="00756D1D"/>
    <w:rsid w:val="00765225"/>
    <w:rsid w:val="00765FE9"/>
    <w:rsid w:val="007756DA"/>
    <w:rsid w:val="007870ED"/>
    <w:rsid w:val="007963E1"/>
    <w:rsid w:val="00796C08"/>
    <w:rsid w:val="007A293B"/>
    <w:rsid w:val="007A470E"/>
    <w:rsid w:val="007B2D71"/>
    <w:rsid w:val="007B4346"/>
    <w:rsid w:val="007B50D2"/>
    <w:rsid w:val="007B7647"/>
    <w:rsid w:val="007C2895"/>
    <w:rsid w:val="007D0125"/>
    <w:rsid w:val="007D5253"/>
    <w:rsid w:val="007D7FE2"/>
    <w:rsid w:val="007F0805"/>
    <w:rsid w:val="007F1D6F"/>
    <w:rsid w:val="007F2E3E"/>
    <w:rsid w:val="007F6983"/>
    <w:rsid w:val="007F69F1"/>
    <w:rsid w:val="008317F6"/>
    <w:rsid w:val="0083212B"/>
    <w:rsid w:val="00840F2F"/>
    <w:rsid w:val="00852E5E"/>
    <w:rsid w:val="008601CD"/>
    <w:rsid w:val="00862640"/>
    <w:rsid w:val="008721A7"/>
    <w:rsid w:val="00877AF5"/>
    <w:rsid w:val="00880488"/>
    <w:rsid w:val="00890C77"/>
    <w:rsid w:val="008A3FE8"/>
    <w:rsid w:val="008A4410"/>
    <w:rsid w:val="008B221D"/>
    <w:rsid w:val="008D3349"/>
    <w:rsid w:val="008D7616"/>
    <w:rsid w:val="008F65EA"/>
    <w:rsid w:val="00904783"/>
    <w:rsid w:val="00904FC1"/>
    <w:rsid w:val="00907A23"/>
    <w:rsid w:val="009139B8"/>
    <w:rsid w:val="00921D3A"/>
    <w:rsid w:val="009342A5"/>
    <w:rsid w:val="00936166"/>
    <w:rsid w:val="00940702"/>
    <w:rsid w:val="009438E6"/>
    <w:rsid w:val="0095184B"/>
    <w:rsid w:val="00953A4C"/>
    <w:rsid w:val="00985A22"/>
    <w:rsid w:val="00990A5A"/>
    <w:rsid w:val="009A1BE7"/>
    <w:rsid w:val="009A5C55"/>
    <w:rsid w:val="009B1959"/>
    <w:rsid w:val="009B5874"/>
    <w:rsid w:val="009C0379"/>
    <w:rsid w:val="009C03E9"/>
    <w:rsid w:val="009C2221"/>
    <w:rsid w:val="009D1D13"/>
    <w:rsid w:val="009D6D2D"/>
    <w:rsid w:val="009D7363"/>
    <w:rsid w:val="009E0BA3"/>
    <w:rsid w:val="009F2477"/>
    <w:rsid w:val="00A011D5"/>
    <w:rsid w:val="00A01286"/>
    <w:rsid w:val="00A055C3"/>
    <w:rsid w:val="00A07BFC"/>
    <w:rsid w:val="00A13900"/>
    <w:rsid w:val="00A2016A"/>
    <w:rsid w:val="00A22E2B"/>
    <w:rsid w:val="00A23790"/>
    <w:rsid w:val="00A27E26"/>
    <w:rsid w:val="00A347E4"/>
    <w:rsid w:val="00A42578"/>
    <w:rsid w:val="00A46E42"/>
    <w:rsid w:val="00A83A58"/>
    <w:rsid w:val="00A952C7"/>
    <w:rsid w:val="00A97949"/>
    <w:rsid w:val="00AB70CF"/>
    <w:rsid w:val="00AC143E"/>
    <w:rsid w:val="00AC5A17"/>
    <w:rsid w:val="00AD1CD0"/>
    <w:rsid w:val="00AE2848"/>
    <w:rsid w:val="00AE4192"/>
    <w:rsid w:val="00AF3678"/>
    <w:rsid w:val="00B023D6"/>
    <w:rsid w:val="00B07756"/>
    <w:rsid w:val="00B13CE1"/>
    <w:rsid w:val="00B1514F"/>
    <w:rsid w:val="00B160E9"/>
    <w:rsid w:val="00B20D07"/>
    <w:rsid w:val="00B26224"/>
    <w:rsid w:val="00B2737B"/>
    <w:rsid w:val="00B279C2"/>
    <w:rsid w:val="00B44C15"/>
    <w:rsid w:val="00B51B68"/>
    <w:rsid w:val="00B544CA"/>
    <w:rsid w:val="00B5450F"/>
    <w:rsid w:val="00B60264"/>
    <w:rsid w:val="00B625A6"/>
    <w:rsid w:val="00B70956"/>
    <w:rsid w:val="00B70CDD"/>
    <w:rsid w:val="00B75CB3"/>
    <w:rsid w:val="00B8751E"/>
    <w:rsid w:val="00B94EF4"/>
    <w:rsid w:val="00B96A60"/>
    <w:rsid w:val="00BA58B6"/>
    <w:rsid w:val="00BB3713"/>
    <w:rsid w:val="00BC1C73"/>
    <w:rsid w:val="00BC3009"/>
    <w:rsid w:val="00BC3E29"/>
    <w:rsid w:val="00BC44D3"/>
    <w:rsid w:val="00BC550F"/>
    <w:rsid w:val="00BC7FB3"/>
    <w:rsid w:val="00BD65DD"/>
    <w:rsid w:val="00BF3920"/>
    <w:rsid w:val="00C00DB2"/>
    <w:rsid w:val="00C21AFF"/>
    <w:rsid w:val="00C236B2"/>
    <w:rsid w:val="00C326B4"/>
    <w:rsid w:val="00C432E9"/>
    <w:rsid w:val="00C47C75"/>
    <w:rsid w:val="00C50815"/>
    <w:rsid w:val="00C55E63"/>
    <w:rsid w:val="00C60883"/>
    <w:rsid w:val="00C61238"/>
    <w:rsid w:val="00C77556"/>
    <w:rsid w:val="00C846C6"/>
    <w:rsid w:val="00CA2BAE"/>
    <w:rsid w:val="00CA7FF6"/>
    <w:rsid w:val="00CD3412"/>
    <w:rsid w:val="00CD4784"/>
    <w:rsid w:val="00CD514B"/>
    <w:rsid w:val="00CE4882"/>
    <w:rsid w:val="00CF054D"/>
    <w:rsid w:val="00D019C5"/>
    <w:rsid w:val="00D05BBB"/>
    <w:rsid w:val="00D07537"/>
    <w:rsid w:val="00D130F9"/>
    <w:rsid w:val="00D205EB"/>
    <w:rsid w:val="00D20AD9"/>
    <w:rsid w:val="00D210A6"/>
    <w:rsid w:val="00D21565"/>
    <w:rsid w:val="00D23575"/>
    <w:rsid w:val="00D403CE"/>
    <w:rsid w:val="00D57AB8"/>
    <w:rsid w:val="00D645C4"/>
    <w:rsid w:val="00D6474F"/>
    <w:rsid w:val="00D648E8"/>
    <w:rsid w:val="00D659CD"/>
    <w:rsid w:val="00D7434D"/>
    <w:rsid w:val="00D8567C"/>
    <w:rsid w:val="00DA010F"/>
    <w:rsid w:val="00DA1A9C"/>
    <w:rsid w:val="00DB5A67"/>
    <w:rsid w:val="00DB6E73"/>
    <w:rsid w:val="00DD3E3E"/>
    <w:rsid w:val="00DD5279"/>
    <w:rsid w:val="00DE325E"/>
    <w:rsid w:val="00DE6627"/>
    <w:rsid w:val="00DF34C2"/>
    <w:rsid w:val="00DF5A78"/>
    <w:rsid w:val="00E00550"/>
    <w:rsid w:val="00E0469D"/>
    <w:rsid w:val="00E20F44"/>
    <w:rsid w:val="00E21890"/>
    <w:rsid w:val="00E225BA"/>
    <w:rsid w:val="00E3018F"/>
    <w:rsid w:val="00E302A9"/>
    <w:rsid w:val="00E306F7"/>
    <w:rsid w:val="00E32C1D"/>
    <w:rsid w:val="00E34AF8"/>
    <w:rsid w:val="00E4699F"/>
    <w:rsid w:val="00E565E7"/>
    <w:rsid w:val="00E56D7C"/>
    <w:rsid w:val="00E57ECE"/>
    <w:rsid w:val="00E60581"/>
    <w:rsid w:val="00E756FF"/>
    <w:rsid w:val="00E8116C"/>
    <w:rsid w:val="00E83654"/>
    <w:rsid w:val="00E86D89"/>
    <w:rsid w:val="00E92EC1"/>
    <w:rsid w:val="00EA0881"/>
    <w:rsid w:val="00EA595D"/>
    <w:rsid w:val="00EC20F5"/>
    <w:rsid w:val="00ED07A6"/>
    <w:rsid w:val="00ED0B9F"/>
    <w:rsid w:val="00EE37A0"/>
    <w:rsid w:val="00EE6229"/>
    <w:rsid w:val="00F01FCB"/>
    <w:rsid w:val="00F04FA8"/>
    <w:rsid w:val="00F14B46"/>
    <w:rsid w:val="00F23209"/>
    <w:rsid w:val="00F42B6A"/>
    <w:rsid w:val="00F472D5"/>
    <w:rsid w:val="00F619D7"/>
    <w:rsid w:val="00F71B20"/>
    <w:rsid w:val="00F752BE"/>
    <w:rsid w:val="00F8116E"/>
    <w:rsid w:val="00F83F9D"/>
    <w:rsid w:val="00F86E3D"/>
    <w:rsid w:val="00F90B24"/>
    <w:rsid w:val="00FB1B31"/>
    <w:rsid w:val="00FC5E06"/>
    <w:rsid w:val="00FE2678"/>
    <w:rsid w:val="00FF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3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E4192"/>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AE4192"/>
    <w:rPr>
      <w:color w:val="0563C1" w:themeColor="hyperlink"/>
      <w:u w:val="single"/>
    </w:rPr>
  </w:style>
  <w:style w:type="paragraph" w:styleId="ListParagraph">
    <w:name w:val="List Paragraph"/>
    <w:basedOn w:val="Normal"/>
    <w:uiPriority w:val="34"/>
    <w:qFormat/>
    <w:rsid w:val="00AE4192"/>
    <w:pPr>
      <w:spacing w:after="200" w:line="276" w:lineRule="auto"/>
      <w:ind w:left="720"/>
      <w:contextualSpacing/>
    </w:pPr>
    <w:rPr>
      <w:rFonts w:ascii="Calibri" w:eastAsia="Calibri" w:hAnsi="Calibri" w:cs="Times New Roman"/>
    </w:rPr>
  </w:style>
  <w:style w:type="character" w:customStyle="1" w:styleId="UnresolvedMention1">
    <w:name w:val="Unresolved Mention1"/>
    <w:basedOn w:val="DefaultParagraphFont"/>
    <w:uiPriority w:val="99"/>
    <w:semiHidden/>
    <w:unhideWhenUsed/>
    <w:rsid w:val="00877AF5"/>
    <w:rPr>
      <w:color w:val="808080"/>
      <w:shd w:val="clear" w:color="auto" w:fill="E6E6E6"/>
    </w:rPr>
  </w:style>
  <w:style w:type="paragraph" w:styleId="NormalWeb">
    <w:name w:val="Normal (Web)"/>
    <w:basedOn w:val="Normal"/>
    <w:uiPriority w:val="99"/>
    <w:semiHidden/>
    <w:unhideWhenUsed/>
    <w:rsid w:val="007A470E"/>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601C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8601C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0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881"/>
    <w:rPr>
      <w:rFonts w:ascii="Segoe UI" w:hAnsi="Segoe UI" w:cs="Segoe UI"/>
      <w:sz w:val="18"/>
      <w:szCs w:val="18"/>
    </w:rPr>
  </w:style>
  <w:style w:type="table" w:styleId="TableGrid">
    <w:name w:val="Table Grid"/>
    <w:basedOn w:val="TableNormal"/>
    <w:uiPriority w:val="39"/>
    <w:rsid w:val="00A22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C65F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E4192"/>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AE4192"/>
    <w:rPr>
      <w:color w:val="0563C1" w:themeColor="hyperlink"/>
      <w:u w:val="single"/>
    </w:rPr>
  </w:style>
  <w:style w:type="paragraph" w:styleId="ListParagraph">
    <w:name w:val="List Paragraph"/>
    <w:basedOn w:val="Normal"/>
    <w:uiPriority w:val="34"/>
    <w:qFormat/>
    <w:rsid w:val="00AE4192"/>
    <w:pPr>
      <w:spacing w:after="200" w:line="276" w:lineRule="auto"/>
      <w:ind w:left="720"/>
      <w:contextualSpacing/>
    </w:pPr>
    <w:rPr>
      <w:rFonts w:ascii="Calibri" w:eastAsia="Calibri" w:hAnsi="Calibri" w:cs="Times New Roman"/>
    </w:rPr>
  </w:style>
  <w:style w:type="character" w:customStyle="1" w:styleId="UnresolvedMention1">
    <w:name w:val="Unresolved Mention1"/>
    <w:basedOn w:val="DefaultParagraphFont"/>
    <w:uiPriority w:val="99"/>
    <w:semiHidden/>
    <w:unhideWhenUsed/>
    <w:rsid w:val="00877AF5"/>
    <w:rPr>
      <w:color w:val="808080"/>
      <w:shd w:val="clear" w:color="auto" w:fill="E6E6E6"/>
    </w:rPr>
  </w:style>
  <w:style w:type="paragraph" w:styleId="NormalWeb">
    <w:name w:val="Normal (Web)"/>
    <w:basedOn w:val="Normal"/>
    <w:uiPriority w:val="99"/>
    <w:semiHidden/>
    <w:unhideWhenUsed/>
    <w:rsid w:val="007A470E"/>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601C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8601C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0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881"/>
    <w:rPr>
      <w:rFonts w:ascii="Segoe UI" w:hAnsi="Segoe UI" w:cs="Segoe UI"/>
      <w:sz w:val="18"/>
      <w:szCs w:val="18"/>
    </w:rPr>
  </w:style>
  <w:style w:type="table" w:styleId="TableGrid">
    <w:name w:val="Table Grid"/>
    <w:basedOn w:val="TableNormal"/>
    <w:uiPriority w:val="39"/>
    <w:rsid w:val="00A22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C65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69091">
      <w:bodyDiv w:val="1"/>
      <w:marLeft w:val="0"/>
      <w:marRight w:val="0"/>
      <w:marTop w:val="0"/>
      <w:marBottom w:val="0"/>
      <w:divBdr>
        <w:top w:val="none" w:sz="0" w:space="0" w:color="auto"/>
        <w:left w:val="none" w:sz="0" w:space="0" w:color="auto"/>
        <w:bottom w:val="none" w:sz="0" w:space="0" w:color="auto"/>
        <w:right w:val="none" w:sz="0" w:space="0" w:color="auto"/>
      </w:divBdr>
    </w:div>
    <w:div w:id="499085025">
      <w:bodyDiv w:val="1"/>
      <w:marLeft w:val="0"/>
      <w:marRight w:val="0"/>
      <w:marTop w:val="0"/>
      <w:marBottom w:val="0"/>
      <w:divBdr>
        <w:top w:val="none" w:sz="0" w:space="0" w:color="auto"/>
        <w:left w:val="none" w:sz="0" w:space="0" w:color="auto"/>
        <w:bottom w:val="none" w:sz="0" w:space="0" w:color="auto"/>
        <w:right w:val="none" w:sz="0" w:space="0" w:color="auto"/>
      </w:divBdr>
    </w:div>
    <w:div w:id="626007928">
      <w:bodyDiv w:val="1"/>
      <w:marLeft w:val="0"/>
      <w:marRight w:val="0"/>
      <w:marTop w:val="0"/>
      <w:marBottom w:val="0"/>
      <w:divBdr>
        <w:top w:val="none" w:sz="0" w:space="0" w:color="auto"/>
        <w:left w:val="none" w:sz="0" w:space="0" w:color="auto"/>
        <w:bottom w:val="none" w:sz="0" w:space="0" w:color="auto"/>
        <w:right w:val="none" w:sz="0" w:space="0" w:color="auto"/>
      </w:divBdr>
    </w:div>
    <w:div w:id="849679729">
      <w:bodyDiv w:val="1"/>
      <w:marLeft w:val="0"/>
      <w:marRight w:val="0"/>
      <w:marTop w:val="0"/>
      <w:marBottom w:val="0"/>
      <w:divBdr>
        <w:top w:val="none" w:sz="0" w:space="0" w:color="auto"/>
        <w:left w:val="none" w:sz="0" w:space="0" w:color="auto"/>
        <w:bottom w:val="none" w:sz="0" w:space="0" w:color="auto"/>
        <w:right w:val="none" w:sz="0" w:space="0" w:color="auto"/>
      </w:divBdr>
    </w:div>
    <w:div w:id="1053119307">
      <w:bodyDiv w:val="1"/>
      <w:marLeft w:val="0"/>
      <w:marRight w:val="0"/>
      <w:marTop w:val="0"/>
      <w:marBottom w:val="0"/>
      <w:divBdr>
        <w:top w:val="none" w:sz="0" w:space="0" w:color="auto"/>
        <w:left w:val="none" w:sz="0" w:space="0" w:color="auto"/>
        <w:bottom w:val="none" w:sz="0" w:space="0" w:color="auto"/>
        <w:right w:val="none" w:sz="0" w:space="0" w:color="auto"/>
      </w:divBdr>
    </w:div>
    <w:div w:id="1211041377">
      <w:bodyDiv w:val="1"/>
      <w:marLeft w:val="0"/>
      <w:marRight w:val="0"/>
      <w:marTop w:val="0"/>
      <w:marBottom w:val="0"/>
      <w:divBdr>
        <w:top w:val="none" w:sz="0" w:space="0" w:color="auto"/>
        <w:left w:val="none" w:sz="0" w:space="0" w:color="auto"/>
        <w:bottom w:val="none" w:sz="0" w:space="0" w:color="auto"/>
        <w:right w:val="none" w:sz="0" w:space="0" w:color="auto"/>
      </w:divBdr>
    </w:div>
    <w:div w:id="1531915518">
      <w:bodyDiv w:val="1"/>
      <w:marLeft w:val="0"/>
      <w:marRight w:val="0"/>
      <w:marTop w:val="0"/>
      <w:marBottom w:val="0"/>
      <w:divBdr>
        <w:top w:val="none" w:sz="0" w:space="0" w:color="auto"/>
        <w:left w:val="none" w:sz="0" w:space="0" w:color="auto"/>
        <w:bottom w:val="none" w:sz="0" w:space="0" w:color="auto"/>
        <w:right w:val="none" w:sz="0" w:space="0" w:color="auto"/>
      </w:divBdr>
    </w:div>
    <w:div w:id="1697656679">
      <w:bodyDiv w:val="1"/>
      <w:marLeft w:val="0"/>
      <w:marRight w:val="0"/>
      <w:marTop w:val="0"/>
      <w:marBottom w:val="0"/>
      <w:divBdr>
        <w:top w:val="none" w:sz="0" w:space="0" w:color="auto"/>
        <w:left w:val="none" w:sz="0" w:space="0" w:color="auto"/>
        <w:bottom w:val="none" w:sz="0" w:space="0" w:color="auto"/>
        <w:right w:val="none" w:sz="0" w:space="0" w:color="auto"/>
      </w:divBdr>
    </w:div>
    <w:div w:id="204212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uters.com" TargetMode="External"/><Relationship Id="rId13" Type="http://schemas.openxmlformats.org/officeDocument/2006/relationships/image" Target="media/image5.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en.wikipedia.org/wiki/Financ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nytimes.com"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iki.answers.com/Q/What_is_the_difference_between_interest_rate_risk_and_reinvestment_rate_ri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Allard</dc:creator>
  <cp:lastModifiedBy>CLSCFP</cp:lastModifiedBy>
  <cp:revision>4</cp:revision>
  <cp:lastPrinted>2018-05-29T18:36:00Z</cp:lastPrinted>
  <dcterms:created xsi:type="dcterms:W3CDTF">2018-05-29T17:44:00Z</dcterms:created>
  <dcterms:modified xsi:type="dcterms:W3CDTF">2018-05-29T19:42:00Z</dcterms:modified>
</cp:coreProperties>
</file>